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57AF4" w14:textId="44E2E106" w:rsidR="004C56CA" w:rsidRPr="00CF2DEB" w:rsidRDefault="004C56CA" w:rsidP="004C56CA">
      <w:pPr>
        <w:pStyle w:val="a3"/>
        <w:tabs>
          <w:tab w:val="right" w:pos="9639"/>
        </w:tabs>
        <w:rPr>
          <w:rFonts w:eastAsiaTheme="minorEastAsia" w:hint="eastAsia"/>
          <w:noProof w:val="0"/>
          <w:sz w:val="24"/>
          <w:szCs w:val="24"/>
          <w:lang w:val="en-GB" w:eastAsia="zh-CN"/>
        </w:rPr>
      </w:pPr>
      <w:bookmarkStart w:id="0" w:name="_Hlk205558351"/>
      <w:r w:rsidRPr="004C56CA">
        <w:rPr>
          <w:rFonts w:eastAsia="MS Mincho"/>
          <w:noProof w:val="0"/>
          <w:sz w:val="24"/>
          <w:szCs w:val="24"/>
          <w:lang w:val="en-GB" w:eastAsia="en-GB"/>
        </w:rPr>
        <w:t>3GPP TSG-RAN WG2 Meeting #131</w:t>
      </w:r>
      <w:r w:rsidRPr="004C56CA">
        <w:rPr>
          <w:rFonts w:eastAsia="MS Mincho"/>
          <w:noProof w:val="0"/>
          <w:sz w:val="24"/>
          <w:szCs w:val="24"/>
          <w:lang w:val="en-GB" w:eastAsia="en-GB"/>
        </w:rPr>
        <w:tab/>
      </w:r>
      <w:r w:rsidR="00CF2DEB" w:rsidRPr="00CF2DEB">
        <w:rPr>
          <w:rFonts w:eastAsia="MS Mincho"/>
          <w:noProof w:val="0"/>
          <w:sz w:val="24"/>
          <w:szCs w:val="24"/>
          <w:lang w:val="en-GB" w:eastAsia="en-GB"/>
        </w:rPr>
        <w:t>R2-250568</w:t>
      </w:r>
      <w:r w:rsidR="00CF2DEB">
        <w:rPr>
          <w:rFonts w:eastAsiaTheme="minorEastAsia" w:hint="eastAsia"/>
          <w:noProof w:val="0"/>
          <w:sz w:val="24"/>
          <w:szCs w:val="24"/>
          <w:lang w:val="en-GB" w:eastAsia="zh-CN"/>
        </w:rPr>
        <w:t>9</w:t>
      </w:r>
    </w:p>
    <w:p w14:paraId="4AA7EF86" w14:textId="311135CC" w:rsidR="007127A5" w:rsidRPr="00A511FA" w:rsidRDefault="004C56CA" w:rsidP="004C56CA">
      <w:pPr>
        <w:pStyle w:val="a3"/>
        <w:tabs>
          <w:tab w:val="right" w:pos="9639"/>
        </w:tabs>
        <w:jc w:val="both"/>
        <w:rPr>
          <w:rFonts w:eastAsiaTheme="minorEastAsia" w:cs="Arial"/>
          <w:b w:val="0"/>
          <w:bCs/>
          <w:i/>
          <w:iCs/>
          <w:sz w:val="24"/>
          <w:lang w:eastAsia="zh-CN"/>
        </w:rPr>
      </w:pPr>
      <w:r w:rsidRPr="004C56CA">
        <w:rPr>
          <w:rFonts w:eastAsia="MS Mincho"/>
          <w:noProof w:val="0"/>
          <w:sz w:val="24"/>
          <w:szCs w:val="24"/>
          <w:lang w:val="en-GB" w:eastAsia="en-GB"/>
        </w:rPr>
        <w:t>Bangalore, India</w:t>
      </w:r>
      <w:r>
        <w:rPr>
          <w:rFonts w:eastAsiaTheme="minorEastAsia" w:hint="eastAsia"/>
          <w:noProof w:val="0"/>
          <w:sz w:val="24"/>
          <w:szCs w:val="24"/>
          <w:lang w:val="en-GB" w:eastAsia="zh-CN"/>
        </w:rPr>
        <w:t xml:space="preserve">, </w:t>
      </w:r>
      <w:r w:rsidRPr="004C56CA">
        <w:rPr>
          <w:rFonts w:eastAsia="MS Mincho"/>
          <w:noProof w:val="0"/>
          <w:sz w:val="24"/>
          <w:szCs w:val="24"/>
          <w:lang w:val="en-GB" w:eastAsia="en-GB"/>
        </w:rPr>
        <w:t>Aug 25</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xml:space="preserve"> – 29</w:t>
      </w:r>
      <w:r w:rsidRPr="004C56CA">
        <w:rPr>
          <w:rFonts w:eastAsia="MS Mincho"/>
          <w:noProof w:val="0"/>
          <w:sz w:val="24"/>
          <w:szCs w:val="24"/>
          <w:vertAlign w:val="superscript"/>
          <w:lang w:val="en-GB" w:eastAsia="en-GB"/>
        </w:rPr>
        <w:t>th</w:t>
      </w:r>
      <w:r w:rsidRPr="004C56CA">
        <w:rPr>
          <w:rFonts w:eastAsia="MS Mincho"/>
          <w:noProof w:val="0"/>
          <w:sz w:val="24"/>
          <w:szCs w:val="24"/>
          <w:lang w:val="en-GB" w:eastAsia="en-GB"/>
        </w:rPr>
        <w:t>, 2025</w:t>
      </w:r>
      <w:bookmarkEnd w:id="0"/>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792C96E5" w14:textId="4316F97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228A1">
        <w:rPr>
          <w:rFonts w:ascii="Arial" w:hAnsi="Arial" w:cs="Arial" w:hint="eastAsia"/>
          <w:b/>
          <w:bCs/>
          <w:sz w:val="24"/>
        </w:rPr>
        <w:t>Some remaining issues for</w:t>
      </w:r>
      <w:r w:rsidR="007F4CA9">
        <w:rPr>
          <w:rFonts w:ascii="Arial" w:hAnsi="Arial" w:cs="Arial" w:hint="eastAsia"/>
          <w:b/>
          <w:bCs/>
          <w:sz w:val="24"/>
        </w:rPr>
        <w:t xml:space="preserve"> MBS</w:t>
      </w:r>
      <w:r w:rsidR="00D61CBB">
        <w:rPr>
          <w:rFonts w:ascii="Arial" w:hAnsi="Arial" w:cs="Arial" w:hint="eastAsia"/>
          <w:b/>
          <w:bCs/>
          <w:sz w:val="24"/>
        </w:rPr>
        <w:t xml:space="preserve"> and ETWS</w:t>
      </w:r>
      <w:r w:rsidR="007F4CA9">
        <w:rPr>
          <w:rFonts w:ascii="Arial" w:hAnsi="Arial" w:cs="Arial" w:hint="eastAsia"/>
          <w:b/>
          <w:bCs/>
          <w:sz w:val="24"/>
        </w:rPr>
        <w:t xml:space="preserve"> </w:t>
      </w:r>
      <w:r w:rsidR="00354D4A">
        <w:rPr>
          <w:rFonts w:ascii="Arial" w:hAnsi="Arial" w:cs="Arial" w:hint="eastAsia"/>
          <w:b/>
          <w:bCs/>
          <w:sz w:val="24"/>
        </w:rPr>
        <w:t xml:space="preserve">broadcast in </w:t>
      </w:r>
      <w:r w:rsidR="00D10C5F">
        <w:rPr>
          <w:rFonts w:ascii="Arial" w:hAnsi="Arial" w:cs="Arial" w:hint="eastAsia"/>
          <w:b/>
          <w:bCs/>
          <w:sz w:val="24"/>
        </w:rPr>
        <w:t xml:space="preserve">NR </w:t>
      </w:r>
      <w:r w:rsidR="00354D4A">
        <w:rPr>
          <w:rFonts w:ascii="Arial" w:hAnsi="Arial" w:cs="Arial" w:hint="eastAsia"/>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636E595F" w:rsidR="009D015E" w:rsidRDefault="0023013C" w:rsidP="00C80FAF">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 meeting</w:t>
      </w:r>
      <w:r w:rsidR="00F533EE">
        <w:rPr>
          <w:rFonts w:ascii="Times New Roman" w:hAnsi="Times New Roman" w:hint="eastAsia"/>
          <w:sz w:val="22"/>
        </w:rPr>
        <w:t>s</w:t>
      </w:r>
      <w:r>
        <w:rPr>
          <w:rFonts w:ascii="Times New Roman" w:hAnsi="Times New Roman"/>
          <w:sz w:val="22"/>
        </w:rPr>
        <w:t xml:space="preserve"> made the following agreements regarding</w:t>
      </w:r>
      <w:r w:rsidR="00E228A1">
        <w:rPr>
          <w:rFonts w:ascii="Times New Roman" w:hAnsi="Times New Roman" w:hint="eastAsia"/>
          <w:sz w:val="22"/>
        </w:rPr>
        <w:t xml:space="preserve"> </w:t>
      </w:r>
      <w:r>
        <w:rPr>
          <w:rFonts w:ascii="Times New Roman" w:hAnsi="Times New Roman"/>
          <w:sz w:val="22"/>
        </w:rPr>
        <w:t>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22E67B6C" w14:textId="66C85C54" w:rsidR="00E228A1" w:rsidRPr="00A07227" w:rsidRDefault="00E228A1" w:rsidP="00C22A7E">
            <w:pPr>
              <w:rPr>
                <w:rFonts w:ascii="Times New Roman" w:hAnsi="Times New Roman"/>
                <w:b/>
                <w:bCs/>
                <w:sz w:val="22"/>
              </w:rPr>
            </w:pPr>
            <w:r w:rsidRPr="00A07227">
              <w:rPr>
                <w:rFonts w:ascii="Times New Roman" w:hAnsi="Times New Roman" w:hint="eastAsia"/>
                <w:b/>
                <w:bCs/>
                <w:sz w:val="22"/>
              </w:rPr>
              <w:t>RAN2#129</w:t>
            </w:r>
            <w:r>
              <w:rPr>
                <w:rFonts w:ascii="Times New Roman" w:hAnsi="Times New Roman" w:hint="eastAsia"/>
                <w:b/>
                <w:bCs/>
                <w:sz w:val="22"/>
              </w:rPr>
              <w:t>bis</w:t>
            </w:r>
            <w:r w:rsidRPr="00A07227">
              <w:rPr>
                <w:rFonts w:ascii="Times New Roman" w:hAnsi="Times New Roman" w:hint="eastAsia"/>
                <w:b/>
                <w:bCs/>
                <w:sz w:val="22"/>
              </w:rPr>
              <w:t xml:space="preserve"> </w:t>
            </w:r>
            <w:r w:rsidRPr="00A07227">
              <w:rPr>
                <w:rFonts w:ascii="Times New Roman" w:hAnsi="Times New Roman"/>
                <w:b/>
                <w:bCs/>
                <w:sz w:val="22"/>
              </w:rPr>
              <w:t>Agreements:</w:t>
            </w:r>
          </w:p>
          <w:p w14:paraId="5EF97BA6" w14:textId="07BE9EB1" w:rsidR="00E228A1" w:rsidRPr="00E228A1" w:rsidRDefault="00E228A1" w:rsidP="00C22A7E">
            <w:pPr>
              <w:pStyle w:val="a6"/>
              <w:numPr>
                <w:ilvl w:val="0"/>
                <w:numId w:val="39"/>
              </w:numPr>
              <w:spacing w:after="0"/>
              <w:ind w:firstLineChars="0"/>
              <w:rPr>
                <w:sz w:val="22"/>
              </w:rPr>
            </w:pPr>
            <w:r w:rsidRPr="00E228A1">
              <w:rPr>
                <w:sz w:val="22"/>
              </w:rPr>
              <w:t>RAN2 understands the Intended service areas of all MBS broadcast services of the current serving cell that need to be geo-fenced will be included in the new SIBxx (no spec impacts)</w:t>
            </w:r>
          </w:p>
          <w:p w14:paraId="24097536" w14:textId="547AE3D2" w:rsidR="00E228A1" w:rsidRPr="00E228A1" w:rsidRDefault="00E228A1" w:rsidP="00C22A7E">
            <w:pPr>
              <w:pStyle w:val="a6"/>
              <w:numPr>
                <w:ilvl w:val="0"/>
                <w:numId w:val="39"/>
              </w:numPr>
              <w:spacing w:after="0"/>
              <w:ind w:firstLineChars="0"/>
              <w:rPr>
                <w:sz w:val="22"/>
              </w:rPr>
            </w:pPr>
            <w:r w:rsidRPr="00E228A1">
              <w:rPr>
                <w:sz w:val="22"/>
              </w:rPr>
              <w:t>If UE knows it’s not in any intended service areas of any MBS services the UE is interested in, the UE may not need to acquire MCCH</w:t>
            </w:r>
          </w:p>
          <w:p w14:paraId="5911173E" w14:textId="77777777" w:rsidR="00E228A1" w:rsidRDefault="00E228A1" w:rsidP="00C22A7E">
            <w:pPr>
              <w:pStyle w:val="a6"/>
              <w:numPr>
                <w:ilvl w:val="0"/>
                <w:numId w:val="39"/>
              </w:numPr>
              <w:spacing w:after="0"/>
              <w:ind w:firstLineChars="0"/>
              <w:rPr>
                <w:sz w:val="22"/>
              </w:rPr>
            </w:pPr>
            <w:r w:rsidRPr="00E228A1">
              <w:rPr>
                <w:sz w:val="22"/>
              </w:rPr>
              <w:t>If no intended service area is explicitly indicated (e.g. in SIBxx) for a MBS service the UE is interested into, existing behavior applies.</w:t>
            </w:r>
          </w:p>
          <w:p w14:paraId="2A112D65" w14:textId="77777777" w:rsidR="0053184A" w:rsidRPr="0053184A" w:rsidRDefault="0053184A" w:rsidP="00C22A7E">
            <w:pPr>
              <w:pStyle w:val="a6"/>
              <w:numPr>
                <w:ilvl w:val="0"/>
                <w:numId w:val="39"/>
              </w:numPr>
              <w:spacing w:after="0"/>
              <w:ind w:firstLineChars="0"/>
              <w:rPr>
                <w:sz w:val="22"/>
              </w:rPr>
            </w:pPr>
            <w:r w:rsidRPr="0053184A">
              <w:rPr>
                <w:sz w:val="22"/>
              </w:rPr>
              <w:t>UE may prioritize the frequency(ies) for an interested service when UE can only receive the service on the frequency(ies) and the UE is in intended service area associated with the service provided in the frequency(ies). Otherwise, UE may de- prioritize the frequency.</w:t>
            </w:r>
          </w:p>
          <w:p w14:paraId="71A4375C" w14:textId="77777777" w:rsidR="0053184A" w:rsidRDefault="0053184A" w:rsidP="00C22A7E">
            <w:pPr>
              <w:pStyle w:val="a6"/>
              <w:spacing w:after="0"/>
              <w:ind w:left="440" w:firstLineChars="0" w:firstLine="0"/>
              <w:rPr>
                <w:sz w:val="22"/>
              </w:rPr>
            </w:pPr>
            <w:r w:rsidRPr="0053184A">
              <w:rPr>
                <w:sz w:val="22"/>
              </w:rPr>
              <w:t>FFS whether and how the association between intended service area and frequencies is acquired.</w:t>
            </w:r>
          </w:p>
          <w:p w14:paraId="296CCB0B" w14:textId="635ECBDF" w:rsidR="00D61CBB" w:rsidRDefault="00D61CBB" w:rsidP="00D61CBB">
            <w:pPr>
              <w:pStyle w:val="a6"/>
              <w:numPr>
                <w:ilvl w:val="0"/>
                <w:numId w:val="39"/>
              </w:numPr>
              <w:spacing w:after="0"/>
              <w:ind w:firstLineChars="0"/>
              <w:rPr>
                <w:sz w:val="22"/>
              </w:rPr>
            </w:pPr>
            <w:r w:rsidRPr="00E228A1">
              <w:rPr>
                <w:sz w:val="22"/>
              </w:rPr>
              <w:t>The field warningAreaCoordinates is included in SIB6 while the field warningAreaCoordinatesSegment is included in SIB7 for ETWS primary/secondary notification to indicate Warning Area Coordinates IE</w:t>
            </w:r>
            <w:r>
              <w:rPr>
                <w:rFonts w:hint="eastAsia"/>
                <w:sz w:val="22"/>
              </w:rPr>
              <w:t>.</w:t>
            </w:r>
          </w:p>
          <w:p w14:paraId="2BE46690" w14:textId="6F8DC812" w:rsidR="00C22A7E" w:rsidRPr="00C22A7E" w:rsidRDefault="00C22A7E" w:rsidP="00C22A7E">
            <w:pPr>
              <w:rPr>
                <w:rFonts w:ascii="Times New Roman" w:hAnsi="Times New Roman"/>
                <w:b/>
                <w:bCs/>
                <w:sz w:val="22"/>
              </w:rPr>
            </w:pPr>
            <w:r w:rsidRPr="00C22A7E">
              <w:rPr>
                <w:rFonts w:ascii="Times New Roman" w:hAnsi="Times New Roman" w:hint="eastAsia"/>
                <w:b/>
                <w:bCs/>
                <w:sz w:val="22"/>
              </w:rPr>
              <w:t>RAN2#130 Agreements</w:t>
            </w:r>
          </w:p>
          <w:p w14:paraId="3D05CB1B" w14:textId="4FCDF95E" w:rsidR="00C22A7E" w:rsidRPr="00C22A7E" w:rsidRDefault="00C22A7E" w:rsidP="00C22A7E">
            <w:pPr>
              <w:pStyle w:val="a6"/>
              <w:numPr>
                <w:ilvl w:val="0"/>
                <w:numId w:val="40"/>
              </w:numPr>
              <w:spacing w:after="0"/>
              <w:ind w:firstLineChars="0"/>
              <w:rPr>
                <w:sz w:val="22"/>
              </w:rPr>
            </w:pPr>
            <w:r w:rsidRPr="00C22A7E">
              <w:rPr>
                <w:sz w:val="22"/>
              </w:rPr>
              <w:t xml:space="preserve">Do not introduce service area information specific for FSAI in SIB21. </w:t>
            </w:r>
          </w:p>
          <w:p w14:paraId="224DA327" w14:textId="7E5270F2" w:rsidR="00C22A7E" w:rsidRPr="00C22A7E" w:rsidRDefault="00C22A7E" w:rsidP="00C22A7E">
            <w:pPr>
              <w:pStyle w:val="a6"/>
              <w:numPr>
                <w:ilvl w:val="0"/>
                <w:numId w:val="40"/>
              </w:numPr>
              <w:spacing w:after="0"/>
              <w:ind w:firstLineChars="0"/>
              <w:rPr>
                <w:sz w:val="22"/>
              </w:rPr>
            </w:pPr>
            <w:r w:rsidRPr="00C22A7E">
              <w:rPr>
                <w:sz w:val="22"/>
              </w:rPr>
              <w:t xml:space="preserve">Do not introduce service area per neighbour cell in MCCH </w:t>
            </w:r>
          </w:p>
          <w:p w14:paraId="1778C891" w14:textId="39F19858" w:rsidR="00C22A7E" w:rsidRPr="00C22A7E" w:rsidRDefault="00C22A7E" w:rsidP="00C22A7E">
            <w:pPr>
              <w:pStyle w:val="a6"/>
              <w:numPr>
                <w:ilvl w:val="0"/>
                <w:numId w:val="40"/>
              </w:numPr>
              <w:spacing w:after="0"/>
              <w:ind w:firstLineChars="0"/>
              <w:rPr>
                <w:sz w:val="22"/>
              </w:rPr>
            </w:pPr>
            <w:r w:rsidRPr="00C22A7E">
              <w:rPr>
                <w:sz w:val="22"/>
              </w:rPr>
              <w:t xml:space="preserve">RAN2 assumes that the ISA can be valid for all the frequencies providing the MBS session </w:t>
            </w:r>
          </w:p>
          <w:p w14:paraId="66B64218" w14:textId="16ABD13F" w:rsidR="00C22A7E" w:rsidRPr="00C22A7E" w:rsidRDefault="00C22A7E" w:rsidP="00C22A7E">
            <w:pPr>
              <w:pStyle w:val="a6"/>
              <w:numPr>
                <w:ilvl w:val="0"/>
                <w:numId w:val="40"/>
              </w:numPr>
              <w:spacing w:after="0"/>
              <w:ind w:firstLineChars="0"/>
              <w:rPr>
                <w:sz w:val="22"/>
                <w:lang w:eastAsia="zh-CN"/>
              </w:rPr>
            </w:pPr>
            <w:r w:rsidRPr="00C22A7E">
              <w:rPr>
                <w:sz w:val="22"/>
              </w:rPr>
              <w:t>The new SIBxx containing MBS ISA(s) can be cell or area specific, which is up to NW implementation (No specs change).</w:t>
            </w:r>
          </w:p>
        </w:tc>
      </w:tr>
    </w:tbl>
    <w:p w14:paraId="335C3B46" w14:textId="411549BF" w:rsidR="00F533B4" w:rsidRDefault="009B4F09" w:rsidP="00C80FAF">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E228A1">
        <w:rPr>
          <w:rFonts w:ascii="Times New Roman" w:hAnsi="Times New Roman" w:hint="eastAsia"/>
          <w:sz w:val="22"/>
        </w:rPr>
        <w:t>some remaining issues</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58C828AB" w14:textId="61C74AA9" w:rsidR="00614B52" w:rsidRDefault="00614B52" w:rsidP="00E476E7">
      <w:pPr>
        <w:spacing w:beforeLines="50" w:before="156" w:afterLines="50" w:after="156"/>
        <w:rPr>
          <w:rFonts w:ascii="Times New Roman" w:hAnsi="Times New Roman"/>
          <w:sz w:val="22"/>
        </w:rPr>
      </w:pPr>
      <w:r>
        <w:rPr>
          <w:rFonts w:ascii="Times New Roman" w:hAnsi="Times New Roman" w:hint="eastAsia"/>
          <w:sz w:val="22"/>
        </w:rPr>
        <w:t xml:space="preserve">As per RAN2 discussions throughout the latest meetings, some enhancements for MBS </w:t>
      </w:r>
      <w:r w:rsidR="00D61CBB">
        <w:rPr>
          <w:rFonts w:ascii="Times New Roman" w:hAnsi="Times New Roman" w:hint="eastAsia"/>
          <w:sz w:val="22"/>
        </w:rPr>
        <w:t xml:space="preserve">and ETWS </w:t>
      </w:r>
      <w:r>
        <w:rPr>
          <w:rFonts w:ascii="Times New Roman" w:hAnsi="Times New Roman" w:hint="eastAsia"/>
          <w:sz w:val="22"/>
        </w:rPr>
        <w:t>broadcast service</w:t>
      </w:r>
      <w:r w:rsidR="00D61CBB">
        <w:rPr>
          <w:rFonts w:ascii="Times New Roman" w:hAnsi="Times New Roman" w:hint="eastAsia"/>
          <w:sz w:val="22"/>
        </w:rPr>
        <w:t>s</w:t>
      </w:r>
      <w:r>
        <w:rPr>
          <w:rFonts w:ascii="Times New Roman" w:hAnsi="Times New Roman" w:hint="eastAsia"/>
          <w:sz w:val="22"/>
        </w:rPr>
        <w:t xml:space="preserve"> in NR NTN were agreed in </w:t>
      </w:r>
      <w:r>
        <w:rPr>
          <w:rFonts w:ascii="Times New Roman" w:hAnsi="Times New Roman"/>
          <w:sz w:val="22"/>
        </w:rPr>
        <w:t>principle</w:t>
      </w:r>
      <w:r>
        <w:rPr>
          <w:rFonts w:ascii="Times New Roman" w:hAnsi="Times New Roman" w:hint="eastAsia"/>
          <w:sz w:val="22"/>
        </w:rPr>
        <w:t xml:space="preserve"> while other details are still FFS. As the Rel-19 function freezing is approaching we list some remaining issues to be resolved as well as other enhancements in potential.</w:t>
      </w:r>
    </w:p>
    <w:p w14:paraId="44E3333D" w14:textId="298BD7A7" w:rsidR="009E5D95" w:rsidRPr="00ED21B5" w:rsidRDefault="001115C0" w:rsidP="009E5D95">
      <w:pPr>
        <w:spacing w:line="360" w:lineRule="auto"/>
        <w:outlineLvl w:val="1"/>
        <w:rPr>
          <w:rFonts w:ascii="Times New Roman" w:hAnsi="Times New Roman"/>
          <w:b/>
          <w:bCs/>
          <w:sz w:val="22"/>
          <w:u w:val="single"/>
        </w:rPr>
      </w:pPr>
      <w:r w:rsidRPr="001115C0">
        <w:rPr>
          <w:rFonts w:ascii="Times New Roman" w:hAnsi="Times New Roman" w:hint="eastAsia"/>
          <w:b/>
          <w:bCs/>
          <w:sz w:val="22"/>
          <w:u w:val="single"/>
        </w:rPr>
        <w:t>T</w:t>
      </w:r>
      <w:r w:rsidRPr="001115C0">
        <w:rPr>
          <w:rFonts w:ascii="Times New Roman" w:hAnsi="Times New Roman"/>
          <w:b/>
          <w:bCs/>
          <w:sz w:val="22"/>
          <w:u w:val="single"/>
        </w:rPr>
        <w:t xml:space="preserve">iming </w:t>
      </w:r>
      <w:r w:rsidR="000D17FC">
        <w:rPr>
          <w:rFonts w:ascii="Times New Roman" w:hAnsi="Times New Roman" w:hint="eastAsia"/>
          <w:b/>
          <w:bCs/>
          <w:sz w:val="22"/>
          <w:u w:val="single"/>
        </w:rPr>
        <w:t>of start</w:t>
      </w:r>
      <w:r w:rsidRPr="001115C0">
        <w:rPr>
          <w:rFonts w:ascii="Times New Roman" w:hAnsi="Times New Roman"/>
          <w:b/>
          <w:bCs/>
          <w:sz w:val="22"/>
          <w:u w:val="single"/>
        </w:rPr>
        <w:t xml:space="preserve"> MCCH monitoring</w:t>
      </w:r>
    </w:p>
    <w:p w14:paraId="3AC60D0D" w14:textId="6082C38A" w:rsidR="00B03DEB" w:rsidRDefault="00B03DEB" w:rsidP="00B03DEB">
      <w:pPr>
        <w:spacing w:beforeLines="50" w:before="156" w:afterLines="50" w:after="156"/>
        <w:rPr>
          <w:rFonts w:ascii="Times New Roman" w:eastAsiaTheme="minorEastAsia" w:hAnsi="Times New Roman"/>
          <w:sz w:val="22"/>
        </w:rPr>
      </w:pPr>
      <w:r w:rsidRPr="00B03DEB">
        <w:rPr>
          <w:rFonts w:ascii="Times New Roman" w:eastAsiaTheme="minorEastAsia" w:hAnsi="Times New Roman"/>
          <w:sz w:val="22"/>
        </w:rPr>
        <w:t xml:space="preserve">In </w:t>
      </w:r>
      <w:r>
        <w:rPr>
          <w:rFonts w:ascii="Times New Roman" w:eastAsiaTheme="minorEastAsia" w:hAnsi="Times New Roman" w:hint="eastAsia"/>
          <w:sz w:val="22"/>
        </w:rPr>
        <w:t>legacy</w:t>
      </w:r>
      <w:r w:rsidRPr="00B03DEB">
        <w:rPr>
          <w:rFonts w:ascii="Times New Roman" w:eastAsiaTheme="minorEastAsia" w:hAnsi="Times New Roman"/>
          <w:sz w:val="22"/>
        </w:rPr>
        <w:t xml:space="preserve"> MBS, UE monitors MCCH to receive the MBS configuration for broadcast session. And when an MCCH change notification is received, UE monitors MCCH to update the MBS configuration for broadcast session. MCCH uses a modification period and MCCH contents are only allowed to be modified at each </w:t>
      </w:r>
      <w:r w:rsidRPr="00B03DEB">
        <w:rPr>
          <w:rFonts w:ascii="Times New Roman" w:eastAsiaTheme="minorEastAsia" w:hAnsi="Times New Roman"/>
          <w:sz w:val="22"/>
        </w:rPr>
        <w:lastRenderedPageBreak/>
        <w:t>modification period boundary; A notification mechanism is used to announce the change of MCCH contents due to broadcast session start, modification or stop and due to neighboring cell information modification. It is up to UE implementation how to address a possibility of the UE missing an MCCH change notification.</w:t>
      </w:r>
    </w:p>
    <w:p w14:paraId="42171992" w14:textId="33D2734A" w:rsidR="00B03DEB" w:rsidRPr="00B03DEB" w:rsidRDefault="00B03DEB" w:rsidP="00B03DEB">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In the previous RAN2 meetings it has been agreed to introduce Intended Service Area (ISA) for MBS broadcast service in NTN, and i</w:t>
      </w:r>
      <w:r w:rsidRPr="00B03DEB">
        <w:rPr>
          <w:rFonts w:ascii="Times New Roman" w:eastAsiaTheme="minorEastAsia" w:hAnsi="Times New Roman"/>
          <w:sz w:val="22"/>
        </w:rPr>
        <w:t>f UE knows it’s not in any intended service areas of any MBS services the UE is interested in, the UE may not need to acquire MCCH</w:t>
      </w:r>
      <w:r>
        <w:rPr>
          <w:rFonts w:ascii="Times New Roman" w:eastAsiaTheme="minorEastAsia" w:hAnsi="Times New Roman" w:hint="eastAsia"/>
          <w:sz w:val="22"/>
        </w:rPr>
        <w:t xml:space="preserve">. Based on this understanding, the exact timing of stop MCCH monitoring can be UE implementation based on the ISA information. Meanwhile the timing of start MCCH monitoring may have some further details </w:t>
      </w:r>
      <w:r>
        <w:rPr>
          <w:rFonts w:ascii="Times New Roman" w:eastAsiaTheme="minorEastAsia" w:hAnsi="Times New Roman"/>
          <w:sz w:val="22"/>
        </w:rPr>
        <w:t>irrelevant</w:t>
      </w:r>
      <w:r>
        <w:rPr>
          <w:rFonts w:ascii="Times New Roman" w:eastAsiaTheme="minorEastAsia" w:hAnsi="Times New Roman" w:hint="eastAsia"/>
          <w:sz w:val="22"/>
        </w:rPr>
        <w:t xml:space="preserve"> to the ISA.</w:t>
      </w:r>
    </w:p>
    <w:p w14:paraId="0921B1CF" w14:textId="0F186FD5" w:rsidR="00B03DEB" w:rsidRPr="00B03DEB" w:rsidRDefault="00B03DEB" w:rsidP="00B03DEB">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I</w:t>
      </w:r>
      <w:r w:rsidRPr="00B03DEB">
        <w:rPr>
          <w:rFonts w:ascii="Times New Roman" w:eastAsiaTheme="minorEastAsia" w:hAnsi="Times New Roman"/>
          <w:sz w:val="22"/>
        </w:rPr>
        <w:t>n NTN UE needs to ensure a valid UE location information and a valid ephemeris data (in SIB19) for uplink synchronization. UE performing re-acquiring SIB19 in NTN may possibly miss the change notification. In such case, enhancements can be considered to accelerate UE in awareness of MCCH change and re-acquire MCCH configuration.</w:t>
      </w:r>
      <w:r>
        <w:rPr>
          <w:rFonts w:ascii="Times New Roman" w:eastAsiaTheme="minorEastAsia" w:hAnsi="Times New Roman" w:hint="eastAsia"/>
          <w:sz w:val="22"/>
        </w:rPr>
        <w:t xml:space="preserve"> To u</w:t>
      </w:r>
      <w:r w:rsidRPr="00B03DEB">
        <w:rPr>
          <w:rFonts w:ascii="Times New Roman" w:eastAsiaTheme="minorEastAsia" w:hAnsi="Times New Roman"/>
          <w:sz w:val="22"/>
        </w:rPr>
        <w:t>pdate MCCH configuration when UE possibly misses a MCCH content change notification in NTN</w:t>
      </w:r>
      <w:r w:rsidR="006B2F6B">
        <w:rPr>
          <w:rFonts w:ascii="Times New Roman" w:eastAsiaTheme="minorEastAsia" w:hAnsi="Times New Roman" w:hint="eastAsia"/>
          <w:sz w:val="22"/>
        </w:rPr>
        <w:t>, the following options can be considered:</w:t>
      </w:r>
    </w:p>
    <w:p w14:paraId="6CAF097E" w14:textId="378708EF" w:rsidR="00B03DEB" w:rsidRPr="006B2F6B" w:rsidRDefault="00B03DEB" w:rsidP="006B2F6B">
      <w:pPr>
        <w:pStyle w:val="a6"/>
        <w:numPr>
          <w:ilvl w:val="0"/>
          <w:numId w:val="41"/>
        </w:numPr>
        <w:spacing w:beforeLines="50" w:before="156" w:afterLines="50" w:after="156"/>
        <w:ind w:firstLineChars="0"/>
        <w:rPr>
          <w:rFonts w:eastAsiaTheme="minorEastAsia"/>
          <w:sz w:val="22"/>
        </w:rPr>
      </w:pPr>
      <w:r w:rsidRPr="006B2F6B">
        <w:rPr>
          <w:rFonts w:eastAsiaTheme="minorEastAsia"/>
          <w:sz w:val="22"/>
        </w:rPr>
        <w:t>Automatic update: In an NTN cell UE re-acquires MCCH configuration in SIB20 after re-acquiring SIB19</w:t>
      </w:r>
      <w:r w:rsidR="006B2F6B" w:rsidRPr="006B2F6B">
        <w:rPr>
          <w:rFonts w:eastAsiaTheme="minorEastAsia" w:hint="eastAsia"/>
          <w:sz w:val="22"/>
        </w:rPr>
        <w:t xml:space="preserve"> complete</w:t>
      </w:r>
      <w:r w:rsidRPr="006B2F6B">
        <w:rPr>
          <w:rFonts w:eastAsiaTheme="minorEastAsia"/>
          <w:sz w:val="22"/>
        </w:rPr>
        <w:t>, e.g., if the corresponding process covers an MCCH modification period boundary.</w:t>
      </w:r>
    </w:p>
    <w:p w14:paraId="75FE3864" w14:textId="526E8866" w:rsidR="001115C0" w:rsidRPr="006B2F6B" w:rsidRDefault="00B03DEB" w:rsidP="006B2F6B">
      <w:pPr>
        <w:pStyle w:val="a6"/>
        <w:numPr>
          <w:ilvl w:val="0"/>
          <w:numId w:val="41"/>
        </w:numPr>
        <w:spacing w:beforeLines="50" w:before="156" w:afterLines="50" w:after="156"/>
        <w:ind w:firstLineChars="0"/>
        <w:rPr>
          <w:rFonts w:eastAsiaTheme="minorEastAsia"/>
          <w:sz w:val="22"/>
        </w:rPr>
      </w:pPr>
      <w:r w:rsidRPr="006B2F6B">
        <w:rPr>
          <w:rFonts w:eastAsiaTheme="minorEastAsia"/>
          <w:sz w:val="22"/>
        </w:rPr>
        <w:t>Conditional update: In an NTN cell UE re-acquires MCCH configuration in SIB20 when an MCCH change notification or MCCH configuration is received in the re-acquired SIB19 (</w:t>
      </w:r>
      <w:r w:rsidR="006B2F6B" w:rsidRPr="006B2F6B">
        <w:rPr>
          <w:rFonts w:eastAsiaTheme="minorEastAsia" w:hint="eastAsia"/>
          <w:sz w:val="22"/>
        </w:rPr>
        <w:t xml:space="preserve">while </w:t>
      </w:r>
      <w:r w:rsidRPr="006B2F6B">
        <w:rPr>
          <w:rFonts w:eastAsiaTheme="minorEastAsia"/>
          <w:sz w:val="22"/>
        </w:rPr>
        <w:t>the MCCH change notification in SIB19 does not trigger SIB19 update).</w:t>
      </w:r>
    </w:p>
    <w:p w14:paraId="36A302CB" w14:textId="04D72B1A" w:rsidR="001115C0" w:rsidRPr="004E0C0A" w:rsidRDefault="000D17FC" w:rsidP="00C80FAF">
      <w:pPr>
        <w:spacing w:beforeLines="50" w:before="156" w:afterLines="50" w:after="156"/>
        <w:rPr>
          <w:rFonts w:ascii="Times New Roman" w:eastAsiaTheme="minorEastAsia" w:hAnsi="Times New Roman"/>
          <w:b/>
          <w:bCs/>
          <w:sz w:val="22"/>
        </w:rPr>
      </w:pPr>
      <w:r w:rsidRPr="004E0C0A">
        <w:rPr>
          <w:rFonts w:ascii="Times New Roman" w:eastAsiaTheme="minorEastAsia" w:hAnsi="Times New Roman" w:hint="eastAsia"/>
          <w:b/>
          <w:bCs/>
          <w:sz w:val="22"/>
        </w:rPr>
        <w:t>Proposal 1: RAN2 to consider enhancement for updating</w:t>
      </w:r>
      <w:r w:rsidRPr="004E0C0A">
        <w:rPr>
          <w:rFonts w:ascii="Times New Roman" w:eastAsiaTheme="minorEastAsia" w:hAnsi="Times New Roman"/>
          <w:b/>
          <w:bCs/>
          <w:sz w:val="22"/>
        </w:rPr>
        <w:t xml:space="preserve"> MCCH configuration when UE </w:t>
      </w:r>
      <w:r w:rsidRPr="004E0C0A">
        <w:rPr>
          <w:rFonts w:ascii="Times New Roman" w:eastAsiaTheme="minorEastAsia" w:hAnsi="Times New Roman" w:hint="eastAsia"/>
          <w:b/>
          <w:bCs/>
          <w:sz w:val="22"/>
        </w:rPr>
        <w:t xml:space="preserve">may </w:t>
      </w:r>
      <w:r w:rsidRPr="004E0C0A">
        <w:rPr>
          <w:rFonts w:ascii="Times New Roman" w:eastAsiaTheme="minorEastAsia" w:hAnsi="Times New Roman"/>
          <w:b/>
          <w:bCs/>
          <w:sz w:val="22"/>
        </w:rPr>
        <w:t>possibly miss a MCCH content change notification</w:t>
      </w:r>
      <w:r w:rsidRPr="004E0C0A">
        <w:rPr>
          <w:rFonts w:ascii="Times New Roman" w:eastAsiaTheme="minorEastAsia" w:hAnsi="Times New Roman" w:hint="eastAsia"/>
          <w:b/>
          <w:bCs/>
          <w:sz w:val="22"/>
        </w:rPr>
        <w:t xml:space="preserve"> due to SIB19 acquiring, including:</w:t>
      </w:r>
    </w:p>
    <w:p w14:paraId="25B330AC" w14:textId="7F6E853D" w:rsidR="000D17FC" w:rsidRPr="004E0C0A" w:rsidRDefault="000D17FC" w:rsidP="004E0C0A">
      <w:pPr>
        <w:pStyle w:val="a6"/>
        <w:numPr>
          <w:ilvl w:val="0"/>
          <w:numId w:val="42"/>
        </w:numPr>
        <w:spacing w:beforeLines="50" w:before="156" w:afterLines="50" w:after="156"/>
        <w:ind w:firstLineChars="0"/>
        <w:rPr>
          <w:rFonts w:eastAsiaTheme="minorEastAsia"/>
          <w:b/>
          <w:bCs/>
          <w:sz w:val="22"/>
        </w:rPr>
      </w:pPr>
      <w:r w:rsidRPr="004E0C0A">
        <w:rPr>
          <w:rFonts w:eastAsiaTheme="minorEastAsia" w:hint="eastAsia"/>
          <w:b/>
          <w:bCs/>
          <w:sz w:val="22"/>
        </w:rPr>
        <w:t xml:space="preserve">Option 1: </w:t>
      </w:r>
      <w:r w:rsidR="004E0C0A" w:rsidRPr="004E0C0A">
        <w:rPr>
          <w:rFonts w:eastAsiaTheme="minorEastAsia"/>
          <w:b/>
          <w:bCs/>
          <w:sz w:val="22"/>
        </w:rPr>
        <w:t>UE re-acquires MCCH configuration in SIB20 after re-acquiring SIB19</w:t>
      </w:r>
      <w:r w:rsidR="004E0C0A" w:rsidRPr="004E0C0A">
        <w:rPr>
          <w:rFonts w:eastAsiaTheme="minorEastAsia" w:hint="eastAsia"/>
          <w:b/>
          <w:bCs/>
          <w:sz w:val="22"/>
        </w:rPr>
        <w:t xml:space="preserve"> complete.</w:t>
      </w:r>
    </w:p>
    <w:p w14:paraId="1E60CC7F" w14:textId="3F127529" w:rsidR="004E0C0A" w:rsidRPr="004E0C0A" w:rsidRDefault="004E0C0A" w:rsidP="004E0C0A">
      <w:pPr>
        <w:pStyle w:val="a6"/>
        <w:numPr>
          <w:ilvl w:val="0"/>
          <w:numId w:val="42"/>
        </w:numPr>
        <w:spacing w:beforeLines="50" w:before="156" w:afterLines="50" w:after="156"/>
        <w:ind w:firstLineChars="0"/>
        <w:rPr>
          <w:rFonts w:eastAsiaTheme="minorEastAsia"/>
          <w:b/>
          <w:bCs/>
          <w:sz w:val="22"/>
        </w:rPr>
      </w:pPr>
      <w:r w:rsidRPr="004E0C0A">
        <w:rPr>
          <w:rFonts w:eastAsiaTheme="minorEastAsia" w:hint="eastAsia"/>
          <w:b/>
          <w:bCs/>
          <w:sz w:val="22"/>
        </w:rPr>
        <w:t xml:space="preserve">Option 2: </w:t>
      </w:r>
      <w:r w:rsidRPr="004E0C0A">
        <w:rPr>
          <w:rFonts w:eastAsiaTheme="minorEastAsia"/>
          <w:b/>
          <w:bCs/>
          <w:sz w:val="22"/>
        </w:rPr>
        <w:t xml:space="preserve">MCCH change notification or MCCH configuration </w:t>
      </w:r>
      <w:r w:rsidRPr="004E0C0A">
        <w:rPr>
          <w:rFonts w:eastAsiaTheme="minorEastAsia" w:hint="eastAsia"/>
          <w:b/>
          <w:bCs/>
          <w:sz w:val="22"/>
        </w:rPr>
        <w:t>can be</w:t>
      </w:r>
      <w:r w:rsidRPr="004E0C0A">
        <w:rPr>
          <w:rFonts w:eastAsiaTheme="minorEastAsia"/>
          <w:b/>
          <w:bCs/>
          <w:sz w:val="22"/>
        </w:rPr>
        <w:t xml:space="preserve"> received in re-acquired SIB19</w:t>
      </w:r>
      <w:r w:rsidRPr="004E0C0A">
        <w:rPr>
          <w:rFonts w:eastAsiaTheme="minorEastAsia" w:hint="eastAsia"/>
          <w:b/>
          <w:bCs/>
          <w:sz w:val="22"/>
        </w:rPr>
        <w:t>.</w:t>
      </w:r>
    </w:p>
    <w:p w14:paraId="40E8228D" w14:textId="27EE3254" w:rsidR="00CE7E85" w:rsidRDefault="00CE7E85" w:rsidP="0024132B">
      <w:pPr>
        <w:spacing w:beforeLines="50" w:before="156" w:afterLines="50" w:after="156"/>
        <w:rPr>
          <w:rFonts w:ascii="Times New Roman" w:eastAsiaTheme="minorEastAsia" w:hAnsi="Times New Roman"/>
          <w:sz w:val="22"/>
        </w:rPr>
      </w:pPr>
      <w:r>
        <w:rPr>
          <w:rFonts w:ascii="Times New Roman" w:hAnsi="Times New Roman" w:hint="eastAsia"/>
          <w:b/>
          <w:bCs/>
          <w:sz w:val="22"/>
          <w:u w:val="single"/>
        </w:rPr>
        <w:t>MBS broadcast s</w:t>
      </w:r>
      <w:r>
        <w:rPr>
          <w:rFonts w:ascii="Times New Roman" w:hAnsi="Times New Roman"/>
          <w:b/>
          <w:bCs/>
          <w:sz w:val="22"/>
          <w:u w:val="single"/>
        </w:rPr>
        <w:t>ervice continuity</w:t>
      </w:r>
      <w:r>
        <w:rPr>
          <w:rFonts w:ascii="Times New Roman" w:hAnsi="Times New Roman" w:hint="eastAsia"/>
          <w:b/>
          <w:bCs/>
          <w:sz w:val="22"/>
          <w:u w:val="single"/>
        </w:rPr>
        <w:t xml:space="preserve"> for RRC_CONNECTED</w:t>
      </w:r>
    </w:p>
    <w:p w14:paraId="1B6AF40D" w14:textId="77777777" w:rsidR="00A76ABF" w:rsidRDefault="00A76ABF" w:rsidP="0024132B">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 service continuity guaranteeing for RRC_IDLE/INACTIVE has been discussed and agreed in previous RAN2 meetings, </w:t>
      </w:r>
      <w:r>
        <w:rPr>
          <w:rFonts w:ascii="Times New Roman" w:eastAsiaTheme="minorEastAsia" w:hAnsi="Times New Roman"/>
          <w:sz w:val="22"/>
        </w:rPr>
        <w:t>while</w:t>
      </w:r>
      <w:r>
        <w:rPr>
          <w:rFonts w:ascii="Times New Roman" w:eastAsiaTheme="minorEastAsia" w:hAnsi="Times New Roman" w:hint="eastAsia"/>
          <w:sz w:val="22"/>
        </w:rPr>
        <w:t xml:space="preserve"> the service continuity for RRC_CONNECTED remains untouched. </w:t>
      </w:r>
    </w:p>
    <w:p w14:paraId="6A161C4C" w14:textId="21282046" w:rsidR="009732E6" w:rsidRDefault="00512622" w:rsidP="0024132B">
      <w:pPr>
        <w:spacing w:beforeLines="50" w:before="156" w:afterLines="50" w:after="156"/>
        <w:rPr>
          <w:rFonts w:ascii="Times New Roman" w:eastAsiaTheme="minorEastAsia" w:hAnsi="Times New Roman"/>
          <w:sz w:val="22"/>
        </w:rPr>
      </w:pPr>
      <w:r w:rsidRPr="00512622">
        <w:rPr>
          <w:rFonts w:ascii="Times New Roman" w:eastAsiaTheme="minorEastAsia" w:hAnsi="Times New Roman"/>
          <w:sz w:val="22"/>
        </w:rPr>
        <w:t xml:space="preserve">For </w:t>
      </w:r>
      <w:r>
        <w:rPr>
          <w:rFonts w:ascii="Times New Roman" w:eastAsiaTheme="minorEastAsia" w:hAnsi="Times New Roman" w:hint="eastAsia"/>
          <w:sz w:val="22"/>
        </w:rPr>
        <w:t xml:space="preserve">CONNECTED </w:t>
      </w:r>
      <w:r w:rsidRPr="00512622">
        <w:rPr>
          <w:rFonts w:ascii="Times New Roman" w:eastAsiaTheme="minorEastAsia" w:hAnsi="Times New Roman"/>
          <w:sz w:val="22"/>
        </w:rPr>
        <w:t xml:space="preserve">MBS broadcast service continuity in TN, the UE in RRC_CONNECTED state may send MBS Interest Indication to the gNB, including the list of MBS frequencies and interested services, as well as frequency priorities. The gNB may use this indication when providing handover configuration to allow the UE to receive the MBS services the UE is interested in. Due to the same assumption that an MBS broadcast service area is mapped to one or more TN cells, UE does not need to provide its current or expected MBS broadcast service area information in the MBS Interest Indication. </w:t>
      </w:r>
    </w:p>
    <w:p w14:paraId="4C23381F" w14:textId="0AC95D8A" w:rsidR="0024132B" w:rsidRDefault="00512622" w:rsidP="0024132B">
      <w:pPr>
        <w:spacing w:beforeLines="50" w:before="156" w:afterLines="50" w:after="156"/>
        <w:rPr>
          <w:rFonts w:ascii="Times New Roman" w:eastAsiaTheme="minorEastAsia" w:hAnsi="Times New Roman"/>
          <w:sz w:val="22"/>
        </w:rPr>
      </w:pPr>
      <w:r w:rsidRPr="00512622">
        <w:rPr>
          <w:rFonts w:ascii="Times New Roman" w:eastAsiaTheme="minorEastAsia" w:hAnsi="Times New Roman"/>
          <w:sz w:val="22"/>
        </w:rPr>
        <w:t>When considering that an NTN cell coverage could be larger than an MBS broadcast service area, UE’s current/expected MBS broadcast service area information is necessary at gNB for further handover decisions e.g., to judge whether UE is staying/moving into or moving out of an MBS broadcast service area and configure an appropriate target cell.</w:t>
      </w:r>
    </w:p>
    <w:p w14:paraId="16E3BFA5" w14:textId="2505D9C1" w:rsidR="00512622" w:rsidRDefault="00512622" w:rsidP="0024132B">
      <w:pPr>
        <w:spacing w:beforeLines="50" w:before="156" w:afterLines="50" w:after="156"/>
        <w:rPr>
          <w:rFonts w:ascii="Times New Roman" w:eastAsiaTheme="minorEastAsia" w:hAnsi="Times New Roman"/>
          <w:b/>
          <w:bCs/>
          <w:sz w:val="22"/>
        </w:rPr>
      </w:pPr>
      <w:r w:rsidRPr="00512622">
        <w:rPr>
          <w:rFonts w:ascii="Times New Roman" w:eastAsiaTheme="minorEastAsia" w:hAnsi="Times New Roman" w:hint="eastAsia"/>
          <w:b/>
          <w:bCs/>
          <w:sz w:val="22"/>
        </w:rPr>
        <w:t xml:space="preserve">Proposal </w:t>
      </w:r>
      <w:r w:rsidR="00A76ABF">
        <w:rPr>
          <w:rFonts w:ascii="Times New Roman" w:eastAsiaTheme="minorEastAsia" w:hAnsi="Times New Roman" w:hint="eastAsia"/>
          <w:b/>
          <w:bCs/>
          <w:sz w:val="22"/>
        </w:rPr>
        <w:t>2</w:t>
      </w:r>
      <w:r w:rsidRPr="00512622">
        <w:rPr>
          <w:rFonts w:ascii="Times New Roman" w:eastAsiaTheme="minorEastAsia" w:hAnsi="Times New Roman" w:hint="eastAsia"/>
          <w:b/>
          <w:bCs/>
          <w:sz w:val="22"/>
        </w:rPr>
        <w:t xml:space="preserve">: </w:t>
      </w:r>
      <w:r w:rsidRPr="00512622">
        <w:rPr>
          <w:rFonts w:ascii="Times New Roman" w:eastAsiaTheme="minorEastAsia" w:hAnsi="Times New Roman"/>
          <w:b/>
          <w:bCs/>
          <w:sz w:val="22"/>
        </w:rPr>
        <w:t>UE</w:t>
      </w:r>
      <w:r w:rsidRPr="00512622">
        <w:rPr>
          <w:rFonts w:ascii="Times New Roman" w:eastAsiaTheme="minorEastAsia" w:hAnsi="Times New Roman" w:hint="eastAsia"/>
          <w:b/>
          <w:bCs/>
          <w:sz w:val="22"/>
        </w:rPr>
        <w:t xml:space="preserve"> may report </w:t>
      </w:r>
      <w:r w:rsidRPr="00512622">
        <w:rPr>
          <w:rFonts w:ascii="Times New Roman" w:eastAsiaTheme="minorEastAsia" w:hAnsi="Times New Roman"/>
          <w:b/>
          <w:bCs/>
          <w:sz w:val="22"/>
        </w:rPr>
        <w:t xml:space="preserve">its </w:t>
      </w:r>
      <w:r w:rsidRPr="00512622">
        <w:rPr>
          <w:rFonts w:ascii="Times New Roman" w:eastAsiaTheme="minorEastAsia" w:hAnsi="Times New Roman" w:hint="eastAsia"/>
          <w:b/>
          <w:bCs/>
          <w:sz w:val="22"/>
        </w:rPr>
        <w:t xml:space="preserve">current </w:t>
      </w:r>
      <w:r w:rsidRPr="00512622">
        <w:rPr>
          <w:rFonts w:ascii="Times New Roman" w:eastAsiaTheme="minorEastAsia" w:hAnsi="Times New Roman"/>
          <w:b/>
          <w:bCs/>
          <w:sz w:val="22"/>
        </w:rPr>
        <w:t>broadcast service area information</w:t>
      </w:r>
      <w:r w:rsidRPr="00512622">
        <w:rPr>
          <w:rFonts w:ascii="Times New Roman" w:eastAsiaTheme="minorEastAsia" w:hAnsi="Times New Roman" w:hint="eastAsia"/>
          <w:b/>
          <w:bCs/>
          <w:sz w:val="22"/>
        </w:rPr>
        <w:t xml:space="preserve"> or </w:t>
      </w:r>
      <w:r w:rsidR="00CE7E85" w:rsidRPr="00512622">
        <w:rPr>
          <w:rFonts w:ascii="Times New Roman" w:eastAsiaTheme="minorEastAsia" w:hAnsi="Times New Roman"/>
          <w:b/>
          <w:bCs/>
          <w:sz w:val="22"/>
        </w:rPr>
        <w:t>area</w:t>
      </w:r>
      <w:r w:rsidR="00CE7E85" w:rsidRPr="00512622">
        <w:rPr>
          <w:rFonts w:ascii="Times New Roman" w:eastAsiaTheme="minorEastAsia" w:hAnsi="Times New Roman" w:hint="eastAsia"/>
          <w:b/>
          <w:bCs/>
          <w:sz w:val="22"/>
        </w:rPr>
        <w:t xml:space="preserve"> </w:t>
      </w:r>
      <w:r w:rsidR="00CE7E85">
        <w:rPr>
          <w:rFonts w:ascii="Times New Roman" w:eastAsiaTheme="minorEastAsia" w:hAnsi="Times New Roman" w:hint="eastAsia"/>
          <w:b/>
          <w:bCs/>
          <w:sz w:val="22"/>
        </w:rPr>
        <w:t xml:space="preserve">ID </w:t>
      </w:r>
      <w:r w:rsidRPr="00512622">
        <w:rPr>
          <w:rFonts w:ascii="Times New Roman" w:eastAsiaTheme="minorEastAsia" w:hAnsi="Times New Roman" w:hint="eastAsia"/>
          <w:b/>
          <w:bCs/>
          <w:sz w:val="22"/>
        </w:rPr>
        <w:t>to gNB</w:t>
      </w:r>
      <w:r w:rsidRPr="00512622">
        <w:rPr>
          <w:rFonts w:ascii="Times New Roman" w:eastAsiaTheme="minorEastAsia" w:hAnsi="Times New Roman"/>
          <w:b/>
          <w:bCs/>
          <w:sz w:val="22"/>
        </w:rPr>
        <w:t xml:space="preserve"> for service continuity</w:t>
      </w:r>
      <w:r w:rsidRPr="00512622">
        <w:rPr>
          <w:rFonts w:ascii="Times New Roman" w:eastAsiaTheme="minorEastAsia" w:hAnsi="Times New Roman" w:hint="eastAsia"/>
          <w:b/>
          <w:bCs/>
          <w:sz w:val="22"/>
        </w:rPr>
        <w:t xml:space="preserve"> in RRC_CONNECTED</w:t>
      </w:r>
      <w:r w:rsidRPr="00512622">
        <w:rPr>
          <w:rFonts w:ascii="Times New Roman" w:eastAsiaTheme="minorEastAsia" w:hAnsi="Times New Roman"/>
          <w:b/>
          <w:bCs/>
          <w:sz w:val="22"/>
        </w:rPr>
        <w:t>.</w:t>
      </w:r>
    </w:p>
    <w:p w14:paraId="5745C35A" w14:textId="29D97D4F" w:rsidR="00D61CBB" w:rsidRDefault="00D61CBB" w:rsidP="00D61CBB">
      <w:pPr>
        <w:spacing w:beforeLines="50" w:before="156" w:afterLines="50" w:after="156"/>
        <w:rPr>
          <w:rFonts w:ascii="Times New Roman" w:eastAsiaTheme="minorEastAsia" w:hAnsi="Times New Roman"/>
          <w:sz w:val="22"/>
        </w:rPr>
      </w:pPr>
      <w:r>
        <w:rPr>
          <w:rFonts w:ascii="Times New Roman" w:hAnsi="Times New Roman" w:hint="eastAsia"/>
          <w:b/>
          <w:bCs/>
          <w:sz w:val="22"/>
          <w:u w:val="single"/>
        </w:rPr>
        <w:t xml:space="preserve">Applicability of </w:t>
      </w:r>
      <w:r w:rsidRPr="00D61CBB">
        <w:rPr>
          <w:rFonts w:ascii="Times New Roman" w:hAnsi="Times New Roman"/>
          <w:b/>
          <w:bCs/>
          <w:i/>
          <w:iCs/>
          <w:sz w:val="22"/>
          <w:u w:val="single"/>
        </w:rPr>
        <w:t>warningAreaCoordinates</w:t>
      </w:r>
      <w:r>
        <w:rPr>
          <w:rFonts w:ascii="Times New Roman" w:hAnsi="Times New Roman" w:hint="eastAsia"/>
          <w:b/>
          <w:bCs/>
          <w:sz w:val="22"/>
          <w:u w:val="single"/>
        </w:rPr>
        <w:t xml:space="preserve"> for ETWS broadcast in NTN</w:t>
      </w:r>
    </w:p>
    <w:p w14:paraId="1089BDBE" w14:textId="77777777" w:rsidR="00D61CBB" w:rsidRDefault="00D61CBB" w:rsidP="00D61CBB">
      <w:pPr>
        <w:spacing w:beforeLines="50" w:before="156" w:afterLines="50" w:after="156"/>
        <w:rPr>
          <w:rFonts w:ascii="Times New Roman" w:hAnsi="Times New Roman"/>
          <w:sz w:val="22"/>
        </w:rPr>
      </w:pPr>
      <w:r w:rsidRPr="000B2F72">
        <w:rPr>
          <w:rFonts w:ascii="Times New Roman" w:hAnsi="Times New Roman"/>
          <w:sz w:val="22"/>
        </w:rPr>
        <w:lastRenderedPageBreak/>
        <w:t xml:space="preserve">In previous releases before Rel-19 the PWS mechanisms are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w:t>
      </w:r>
    </w:p>
    <w:p w14:paraId="0F40EC95" w14:textId="77777777" w:rsidR="00D61CBB" w:rsidRDefault="00D61CBB" w:rsidP="00D61CBB">
      <w:pPr>
        <w:spacing w:beforeLines="50" w:before="156" w:afterLines="50" w:after="156"/>
        <w:rPr>
          <w:rFonts w:ascii="Times New Roman" w:hAnsi="Times New Roman"/>
          <w:sz w:val="22"/>
        </w:rPr>
      </w:pPr>
      <w:r w:rsidRPr="000B2F72">
        <w:rPr>
          <w:rFonts w:ascii="Times New Roman" w:hAnsi="Times New Roman"/>
          <w:sz w:val="22"/>
        </w:rPr>
        <w:t xml:space="preserve">However, the diameter of an NTN cell could be much larger than an emergency broadcast service area. An NTN cell coverage may also across country border on one side of which an emergency broadcast service is not allowed or authorized. It is observed that, for ETWS there is no IE to describe a geographical area in the contents of legacy </w:t>
      </w:r>
      <w:r>
        <w:rPr>
          <w:rFonts w:ascii="Times New Roman" w:hAnsi="Times New Roman" w:hint="eastAsia"/>
          <w:sz w:val="22"/>
        </w:rPr>
        <w:t>NR</w:t>
      </w:r>
      <w:r w:rsidRPr="000B2F72">
        <w:rPr>
          <w:rFonts w:ascii="Times New Roman" w:hAnsi="Times New Roman"/>
          <w:sz w:val="22"/>
        </w:rPr>
        <w:t xml:space="preserve"> SIB</w:t>
      </w:r>
      <w:r>
        <w:rPr>
          <w:rFonts w:ascii="Times New Roman" w:hAnsi="Times New Roman" w:hint="eastAsia"/>
          <w:sz w:val="22"/>
        </w:rPr>
        <w:t>6</w:t>
      </w:r>
      <w:r w:rsidRPr="000B2F72">
        <w:rPr>
          <w:rFonts w:ascii="Times New Roman" w:hAnsi="Times New Roman"/>
          <w:sz w:val="22"/>
        </w:rPr>
        <w:t xml:space="preserve"> and SIB</w:t>
      </w:r>
      <w:r>
        <w:rPr>
          <w:rFonts w:ascii="Times New Roman" w:hAnsi="Times New Roman" w:hint="eastAsia"/>
          <w:sz w:val="22"/>
        </w:rPr>
        <w:t>7</w:t>
      </w:r>
      <w:r w:rsidRPr="000B2F72">
        <w:rPr>
          <w:rFonts w:ascii="Times New Roman" w:hAnsi="Times New Roman"/>
          <w:sz w:val="22"/>
        </w:rPr>
        <w:t xml:space="preserve">, while for CMAS as an optional IE </w:t>
      </w:r>
      <w:r w:rsidRPr="000B2F72">
        <w:rPr>
          <w:rFonts w:ascii="Times New Roman" w:hAnsi="Times New Roman"/>
          <w:i/>
          <w:iCs/>
          <w:sz w:val="22"/>
        </w:rPr>
        <w:t>warningAreaCoordinatesSegment</w:t>
      </w:r>
      <w:r w:rsidRPr="000B2F72">
        <w:rPr>
          <w:rFonts w:ascii="Times New Roman" w:hAnsi="Times New Roman"/>
          <w:sz w:val="22"/>
        </w:rPr>
        <w:t xml:space="preserve"> was introduced in SIB</w:t>
      </w:r>
      <w:r>
        <w:rPr>
          <w:rFonts w:ascii="Times New Roman" w:hAnsi="Times New Roman" w:hint="eastAsia"/>
          <w:sz w:val="22"/>
        </w:rPr>
        <w:t>8</w:t>
      </w:r>
      <w:r w:rsidRPr="000B2F72">
        <w:rPr>
          <w:rFonts w:ascii="Times New Roman" w:hAnsi="Times New Roman"/>
          <w:sz w:val="22"/>
        </w:rPr>
        <w:t xml:space="preserve"> to describe the alert area coordinates of a CMAS message.</w:t>
      </w:r>
    </w:p>
    <w:p w14:paraId="48C0B957" w14:textId="77777777" w:rsidR="00D61CBB" w:rsidRDefault="00D61CBB" w:rsidP="00D61CBB">
      <w:pPr>
        <w:spacing w:beforeLines="50" w:before="156" w:afterLines="50" w:after="156"/>
        <w:rPr>
          <w:rFonts w:ascii="Times New Roman" w:hAnsi="Times New Roman"/>
          <w:sz w:val="22"/>
        </w:rPr>
      </w:pPr>
      <w:r w:rsidRPr="00AD0232">
        <w:rPr>
          <w:rFonts w:ascii="Times New Roman" w:hAnsi="Times New Roman"/>
          <w:sz w:val="22"/>
        </w:rPr>
        <w:t>Regarding the area indication</w:t>
      </w:r>
      <w:r>
        <w:rPr>
          <w:rFonts w:ascii="Times New Roman" w:hAnsi="Times New Roman" w:hint="eastAsia"/>
          <w:sz w:val="22"/>
        </w:rPr>
        <w:t xml:space="preserve"> for ETWS in NR NTN</w:t>
      </w:r>
      <w:r w:rsidRPr="00AD0232">
        <w:rPr>
          <w:rFonts w:ascii="Times New Roman" w:hAnsi="Times New Roman"/>
          <w:sz w:val="22"/>
        </w:rPr>
        <w:t>,</w:t>
      </w:r>
      <w:r>
        <w:rPr>
          <w:rFonts w:ascii="Times New Roman" w:hAnsi="Times New Roman" w:hint="eastAsia"/>
          <w:sz w:val="22"/>
        </w:rPr>
        <w:t xml:space="preserve"> there were discussions in RAN2#129, a straight-forward way is to reuse the </w:t>
      </w:r>
      <w:r w:rsidRPr="000B2F72">
        <w:rPr>
          <w:rFonts w:ascii="Times New Roman" w:hAnsi="Times New Roman"/>
          <w:sz w:val="22"/>
        </w:rPr>
        <w:t xml:space="preserve">IE </w:t>
      </w:r>
      <w:r w:rsidRPr="000B2F72">
        <w:rPr>
          <w:rFonts w:ascii="Times New Roman" w:hAnsi="Times New Roman"/>
          <w:i/>
          <w:iCs/>
          <w:sz w:val="22"/>
        </w:rPr>
        <w:t>warningAreaCoordinatesSegment</w:t>
      </w:r>
      <w:r w:rsidRPr="000B2F72">
        <w:rPr>
          <w:rFonts w:ascii="Times New Roman" w:hAnsi="Times New Roman"/>
          <w:sz w:val="22"/>
        </w:rPr>
        <w:t xml:space="preserve"> in SIB</w:t>
      </w:r>
      <w:r>
        <w:rPr>
          <w:rFonts w:ascii="Times New Roman" w:hAnsi="Times New Roman" w:hint="eastAsia"/>
          <w:sz w:val="22"/>
        </w:rPr>
        <w:t xml:space="preserve">8 for CMAS, with its formats following </w:t>
      </w:r>
      <w:r w:rsidRPr="00AD0232">
        <w:rPr>
          <w:rFonts w:ascii="Times New Roman" w:hAnsi="Times New Roman"/>
          <w:sz w:val="22"/>
        </w:rPr>
        <w:t>ATIS-0700041</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D61CBB" w14:paraId="687E9755" w14:textId="77777777" w:rsidTr="006304AD">
        <w:tc>
          <w:tcPr>
            <w:tcW w:w="9629" w:type="dxa"/>
          </w:tcPr>
          <w:p w14:paraId="249314B3" w14:textId="77777777" w:rsidR="00D61CBB" w:rsidRDefault="00D61CBB" w:rsidP="006304AD">
            <w:pPr>
              <w:rPr>
                <w:rFonts w:ascii="Times New Roman" w:hAnsi="Times New Roman"/>
                <w:sz w:val="22"/>
              </w:rPr>
            </w:pPr>
            <w:r w:rsidRPr="00B7245D">
              <w:rPr>
                <w:rFonts w:ascii="Times New Roman" w:hAnsi="Times New Roman"/>
                <w:sz w:val="22"/>
              </w:rPr>
              <w:t>ATIS-0700041</w:t>
            </w:r>
          </w:p>
          <w:p w14:paraId="398DE58E" w14:textId="77777777" w:rsidR="00D61CBB" w:rsidRPr="00B7245D" w:rsidRDefault="00D61CBB" w:rsidP="006304AD">
            <w:pPr>
              <w:rPr>
                <w:rFonts w:ascii="Times New Roman" w:hAnsi="Times New Roman"/>
                <w:b/>
                <w:bCs/>
                <w:sz w:val="22"/>
              </w:rPr>
            </w:pPr>
            <w:r w:rsidRPr="00B7245D">
              <w:rPr>
                <w:rFonts w:ascii="Times New Roman" w:hAnsi="Times New Roman"/>
                <w:b/>
                <w:bCs/>
                <w:sz w:val="22"/>
              </w:rPr>
              <w:t xml:space="preserve">5.2 Warning Area Coordinates Information Element </w:t>
            </w:r>
          </w:p>
          <w:p w14:paraId="13AC39DA" w14:textId="77777777" w:rsidR="00D61CBB" w:rsidRPr="00B7245D" w:rsidRDefault="00D61CBB" w:rsidP="006304AD">
            <w:pPr>
              <w:rPr>
                <w:rFonts w:ascii="Times New Roman" w:hAnsi="Times New Roman"/>
                <w:sz w:val="22"/>
              </w:rPr>
            </w:pPr>
            <w:r w:rsidRPr="00B7245D">
              <w:rPr>
                <w:rFonts w:ascii="Times New Roman" w:hAnsi="Times New Roman"/>
                <w:sz w:val="22"/>
              </w:rPr>
              <w:t>This information element conveys the description of Warning Area Geometries specified by the Alert Originator to the mobile device to perform geo-fencing on the alert. These elements are coded as a finite bit string. In the figures, the bit string is described by octets from top downward, and in the octet from left to right. Number encoding strings start with the most significant bit.</w:t>
            </w:r>
          </w:p>
          <w:p w14:paraId="51341BB0" w14:textId="77777777" w:rsidR="00D61CBB" w:rsidRPr="0019688A" w:rsidRDefault="00D61CBB" w:rsidP="006304AD">
            <w:pPr>
              <w:rPr>
                <w:rFonts w:ascii="Times New Roman" w:hAnsi="Times New Roman"/>
                <w:sz w:val="22"/>
              </w:rPr>
            </w:pPr>
            <w:r w:rsidRPr="0019688A">
              <w:rPr>
                <w:rFonts w:ascii="Times New Roman" w:hAnsi="Times New Roman"/>
                <w:sz w:val="22"/>
                <w:highlight w:val="yellow"/>
              </w:rPr>
              <w:t>The total number of all circles and polygons is limited to 10. The total number of coordinates of all circles and polygons is limited to 100.</w:t>
            </w:r>
          </w:p>
          <w:p w14:paraId="57171151" w14:textId="77777777" w:rsidR="00D61CBB" w:rsidRPr="0019688A" w:rsidRDefault="00D61CBB" w:rsidP="006304AD">
            <w:pPr>
              <w:rPr>
                <w:rFonts w:ascii="Times New Roman" w:hAnsi="Times New Roman"/>
                <w:b/>
                <w:bCs/>
                <w:sz w:val="22"/>
              </w:rPr>
            </w:pPr>
            <w:r w:rsidRPr="0019688A">
              <w:rPr>
                <w:rFonts w:ascii="Times New Roman" w:hAnsi="Times New Roman"/>
                <w:b/>
                <w:bCs/>
                <w:sz w:val="22"/>
              </w:rPr>
              <w:t xml:space="preserve">5.2.1 WAC Tag-Length-Value (TLV) </w:t>
            </w:r>
          </w:p>
          <w:p w14:paraId="2B003D39" w14:textId="77777777" w:rsidR="00D61CBB" w:rsidRPr="0019688A" w:rsidRDefault="00D61CBB" w:rsidP="006304AD">
            <w:pPr>
              <w:rPr>
                <w:rFonts w:ascii="Times New Roman" w:hAnsi="Times New Roman"/>
                <w:sz w:val="22"/>
              </w:rPr>
            </w:pPr>
            <w:r w:rsidRPr="0019688A">
              <w:rPr>
                <w:rFonts w:ascii="Times New Roman" w:hAnsi="Times New Roman"/>
                <w:sz w:val="22"/>
              </w:rPr>
              <w:t xml:space="preserve">At the most basic level the WAC IE is made up of one or more TLVs indicating specific parameters and the values of the parameters. </w:t>
            </w:r>
          </w:p>
          <w:p w14:paraId="433983A8" w14:textId="77777777" w:rsidR="00D61CBB" w:rsidRPr="0019688A" w:rsidRDefault="00D61CBB" w:rsidP="006304AD">
            <w:pPr>
              <w:rPr>
                <w:rFonts w:ascii="Times New Roman" w:hAnsi="Times New Roman"/>
                <w:sz w:val="22"/>
              </w:rPr>
            </w:pPr>
            <w:r w:rsidRPr="0019688A">
              <w:rPr>
                <w:rFonts w:ascii="Times New Roman" w:hAnsi="Times New Roman"/>
                <w:sz w:val="22"/>
              </w:rPr>
              <w:t>Each WAC TLV is illustrated in Table 7.</w:t>
            </w:r>
          </w:p>
          <w:p w14:paraId="107C969B" w14:textId="77777777" w:rsidR="00D61CBB" w:rsidRDefault="00D61CBB" w:rsidP="006304AD">
            <w:pPr>
              <w:jc w:val="center"/>
              <w:rPr>
                <w:rFonts w:ascii="Times New Roman" w:hAnsi="Times New Roman"/>
                <w:b/>
                <w:bCs/>
                <w:sz w:val="22"/>
              </w:rPr>
            </w:pPr>
            <w:r w:rsidRPr="0019688A">
              <w:rPr>
                <w:rFonts w:ascii="Times New Roman" w:hAnsi="Times New Roman"/>
                <w:b/>
                <w:bCs/>
                <w:noProof/>
                <w:sz w:val="22"/>
              </w:rPr>
              <w:drawing>
                <wp:inline distT="0" distB="0" distL="0" distR="0" wp14:anchorId="3D6124AB" wp14:editId="4EDF723A">
                  <wp:extent cx="5086350" cy="1204176"/>
                  <wp:effectExtent l="0" t="0" r="0" b="0"/>
                  <wp:docPr id="791888853"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888853" name="图片 1" descr="表格&#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5606" cy="1208735"/>
                          </a:xfrm>
                          <a:prstGeom prst="rect">
                            <a:avLst/>
                          </a:prstGeom>
                          <a:noFill/>
                          <a:ln>
                            <a:noFill/>
                          </a:ln>
                        </pic:spPr>
                      </pic:pic>
                    </a:graphicData>
                  </a:graphic>
                </wp:inline>
              </w:drawing>
            </w:r>
          </w:p>
          <w:p w14:paraId="16AA723B" w14:textId="77777777" w:rsidR="00D61CBB" w:rsidRPr="0019688A" w:rsidRDefault="00D61CBB" w:rsidP="006304AD">
            <w:pPr>
              <w:rPr>
                <w:rFonts w:ascii="Times New Roman" w:hAnsi="Times New Roman"/>
                <w:sz w:val="22"/>
              </w:rPr>
            </w:pPr>
            <w:r w:rsidRPr="0019688A">
              <w:rPr>
                <w:rFonts w:ascii="Times New Roman" w:hAnsi="Times New Roman"/>
                <w:b/>
                <w:bCs/>
                <w:sz w:val="22"/>
              </w:rPr>
              <w:t>Tag (4 bits)</w:t>
            </w:r>
            <w:r w:rsidRPr="0019688A">
              <w:rPr>
                <w:rFonts w:ascii="Times New Roman" w:hAnsi="Times New Roman"/>
                <w:sz w:val="22"/>
              </w:rPr>
              <w:t xml:space="preserve">: Indicates the type of parameter </w:t>
            </w:r>
          </w:p>
          <w:p w14:paraId="23ED0492" w14:textId="77777777" w:rsidR="00D61CBB" w:rsidRPr="0019688A" w:rsidRDefault="00D61CBB" w:rsidP="006304AD">
            <w:pPr>
              <w:rPr>
                <w:rFonts w:ascii="Times New Roman" w:hAnsi="Times New Roman"/>
                <w:sz w:val="22"/>
              </w:rPr>
            </w:pPr>
            <w:r w:rsidRPr="0019688A">
              <w:rPr>
                <w:rFonts w:ascii="Times New Roman" w:hAnsi="Times New Roman"/>
                <w:b/>
                <w:bCs/>
                <w:sz w:val="22"/>
              </w:rPr>
              <w:t>Length (10 bits)</w:t>
            </w:r>
            <w:r w:rsidRPr="0019688A">
              <w:rPr>
                <w:rFonts w:ascii="Times New Roman" w:hAnsi="Times New Roman"/>
                <w:sz w:val="22"/>
              </w:rPr>
              <w:t xml:space="preserve">: Indicates the length of the entire WAC TLV in octets </w:t>
            </w:r>
          </w:p>
          <w:p w14:paraId="56D52549" w14:textId="77777777" w:rsidR="00D61CBB" w:rsidRPr="0019688A" w:rsidRDefault="00D61CBB" w:rsidP="006304AD">
            <w:pPr>
              <w:rPr>
                <w:rFonts w:ascii="Times New Roman" w:hAnsi="Times New Roman"/>
                <w:sz w:val="22"/>
              </w:rPr>
            </w:pPr>
            <w:r w:rsidRPr="0019688A">
              <w:rPr>
                <w:rFonts w:ascii="Times New Roman" w:hAnsi="Times New Roman"/>
                <w:b/>
                <w:bCs/>
                <w:sz w:val="22"/>
              </w:rPr>
              <w:t>Reserved (2 bits)</w:t>
            </w:r>
            <w:r w:rsidRPr="0019688A">
              <w:rPr>
                <w:rFonts w:ascii="Times New Roman" w:hAnsi="Times New Roman"/>
                <w:sz w:val="22"/>
              </w:rPr>
              <w:t xml:space="preserve">: Shall be set to 0 by the network and ignored by the device </w:t>
            </w:r>
          </w:p>
          <w:p w14:paraId="4A044FF7" w14:textId="77777777" w:rsidR="00D61CBB" w:rsidRDefault="00D61CBB" w:rsidP="006304AD">
            <w:pPr>
              <w:rPr>
                <w:rFonts w:ascii="Times New Roman" w:hAnsi="Times New Roman"/>
                <w:sz w:val="22"/>
              </w:rPr>
            </w:pPr>
            <w:r w:rsidRPr="0019688A">
              <w:rPr>
                <w:rFonts w:ascii="Times New Roman" w:hAnsi="Times New Roman"/>
                <w:b/>
                <w:bCs/>
                <w:sz w:val="22"/>
              </w:rPr>
              <w:t>Value (variable number of octets, up to 1022)</w:t>
            </w:r>
            <w:r w:rsidRPr="0019688A">
              <w:rPr>
                <w:rFonts w:ascii="Times New Roman" w:hAnsi="Times New Roman"/>
                <w:sz w:val="22"/>
              </w:rPr>
              <w:t>: The value of the parameter</w:t>
            </w:r>
          </w:p>
          <w:p w14:paraId="227C8688" w14:textId="77777777" w:rsidR="00D61CBB" w:rsidRPr="0019688A" w:rsidRDefault="00D61CBB" w:rsidP="006304AD">
            <w:pPr>
              <w:rPr>
                <w:rFonts w:ascii="Times New Roman" w:hAnsi="Times New Roman"/>
                <w:b/>
                <w:bCs/>
                <w:sz w:val="22"/>
              </w:rPr>
            </w:pPr>
            <w:r w:rsidRPr="0019688A">
              <w:rPr>
                <w:rFonts w:ascii="Times New Roman" w:hAnsi="Times New Roman"/>
                <w:b/>
                <w:bCs/>
                <w:sz w:val="22"/>
              </w:rPr>
              <w:t xml:space="preserve">5.2.2 WAC TLV characteristics </w:t>
            </w:r>
          </w:p>
          <w:p w14:paraId="1E41D40B" w14:textId="77777777" w:rsidR="00D61CBB" w:rsidRPr="0019688A" w:rsidRDefault="00D61CBB" w:rsidP="006304AD">
            <w:pPr>
              <w:rPr>
                <w:rFonts w:ascii="Times New Roman" w:hAnsi="Times New Roman"/>
                <w:sz w:val="22"/>
              </w:rPr>
            </w:pPr>
            <w:r w:rsidRPr="0019688A">
              <w:rPr>
                <w:rFonts w:ascii="Times New Roman" w:hAnsi="Times New Roman"/>
                <w:sz w:val="22"/>
              </w:rPr>
              <w:t xml:space="preserve">The following attributes apply to the WAC TLV in the WAC IE: </w:t>
            </w:r>
          </w:p>
          <w:p w14:paraId="5E706C28" w14:textId="77777777" w:rsidR="00D61CBB" w:rsidRPr="0019688A" w:rsidRDefault="00D61CBB" w:rsidP="006304AD">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WAC may contain multiple TLVs </w:t>
            </w:r>
          </w:p>
          <w:p w14:paraId="19F22349" w14:textId="77777777" w:rsidR="00D61CBB" w:rsidRPr="0019688A" w:rsidRDefault="00D61CBB" w:rsidP="006304AD">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There may be more than one WAC TLV with the same tag unless otherwise specified </w:t>
            </w:r>
          </w:p>
          <w:p w14:paraId="79405872" w14:textId="77777777" w:rsidR="00D61CBB" w:rsidRPr="0019688A" w:rsidRDefault="00D61CBB" w:rsidP="006304AD">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There is no ordering significance to WAC TLVs in a WAC IE </w:t>
            </w:r>
          </w:p>
          <w:p w14:paraId="348DFEB5" w14:textId="77777777" w:rsidR="00D61CBB" w:rsidRPr="0019688A" w:rsidRDefault="00D61CBB" w:rsidP="006304AD">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If a WAC tag is not recognized by a device the WAC TLV shall be ignored </w:t>
            </w:r>
          </w:p>
          <w:p w14:paraId="467131CE" w14:textId="77777777" w:rsidR="00D61CBB" w:rsidRPr="0019688A" w:rsidRDefault="00D61CBB" w:rsidP="006304AD">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WAC TLVs shall be padded with binary 0s to octet boundaries </w:t>
            </w:r>
          </w:p>
          <w:p w14:paraId="7F9093AF" w14:textId="77777777" w:rsidR="00D61CBB" w:rsidRPr="0019688A" w:rsidRDefault="00D61CBB" w:rsidP="006304AD">
            <w:pPr>
              <w:rPr>
                <w:rFonts w:ascii="Times New Roman" w:hAnsi="Times New Roman"/>
                <w:sz w:val="22"/>
              </w:rPr>
            </w:pPr>
            <w:r>
              <w:rPr>
                <w:rFonts w:ascii="Times New Roman" w:hAnsi="Times New Roman"/>
                <w:sz w:val="22"/>
              </w:rPr>
              <w:t>…</w:t>
            </w:r>
          </w:p>
        </w:tc>
      </w:tr>
    </w:tbl>
    <w:p w14:paraId="5B809455" w14:textId="77777777" w:rsidR="00D61CBB" w:rsidRDefault="00D61CBB" w:rsidP="00D61CBB">
      <w:pPr>
        <w:spacing w:beforeLines="50" w:before="156" w:afterLines="50" w:after="156"/>
        <w:rPr>
          <w:rFonts w:ascii="Times New Roman" w:hAnsi="Times New Roman"/>
          <w:sz w:val="22"/>
        </w:rPr>
      </w:pPr>
      <w:r>
        <w:rPr>
          <w:rFonts w:ascii="Times New Roman" w:hAnsi="Times New Roman" w:hint="eastAsia"/>
          <w:sz w:val="22"/>
        </w:rPr>
        <w:lastRenderedPageBreak/>
        <w:t xml:space="preserve">By reviewing the </w:t>
      </w:r>
      <w:r w:rsidRPr="004D2A48">
        <w:rPr>
          <w:rFonts w:ascii="Times New Roman" w:hAnsi="Times New Roman"/>
          <w:sz w:val="22"/>
        </w:rPr>
        <w:t>ATIS-0700041</w:t>
      </w:r>
      <w:r>
        <w:rPr>
          <w:rFonts w:ascii="Times New Roman" w:hAnsi="Times New Roman" w:hint="eastAsia"/>
          <w:sz w:val="22"/>
        </w:rPr>
        <w:t>, the following observations are given:</w:t>
      </w:r>
    </w:p>
    <w:p w14:paraId="6EC775C4" w14:textId="77777777" w:rsidR="00D61CBB" w:rsidRPr="000F5FD7" w:rsidRDefault="00D61CBB" w:rsidP="00D61CBB">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1: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for CMAS can describe circles and polygons.</w:t>
      </w:r>
    </w:p>
    <w:p w14:paraId="74FDC7D3" w14:textId="77777777" w:rsidR="00D61CBB" w:rsidRPr="000F5FD7" w:rsidRDefault="00D61CBB" w:rsidP="00D61CBB">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2: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has a total number limit 10 for all circles and polygons, and a total number limit 100 for coordinates of all circles and polygons.</w:t>
      </w:r>
    </w:p>
    <w:p w14:paraId="46E7F1F2" w14:textId="77777777" w:rsidR="00D61CBB" w:rsidRPr="000F5FD7" w:rsidRDefault="00D61CBB" w:rsidP="00D61CBB">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3: When describing circles, in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the granularity of radius is 1km and the value range is 64km.</w:t>
      </w:r>
    </w:p>
    <w:p w14:paraId="4B39BA56" w14:textId="77777777" w:rsidR="00D61CBB" w:rsidRPr="004D2A48" w:rsidRDefault="00D61CBB" w:rsidP="00D61CBB">
      <w:pPr>
        <w:spacing w:beforeLines="50" w:before="156" w:afterLines="50" w:after="156"/>
        <w:rPr>
          <w:rFonts w:ascii="Times New Roman" w:hAnsi="Times New Roman"/>
          <w:sz w:val="22"/>
        </w:rPr>
      </w:pPr>
      <w:r>
        <w:rPr>
          <w:rFonts w:ascii="Times New Roman" w:hAnsi="Times New Roman" w:hint="eastAsia"/>
          <w:sz w:val="22"/>
        </w:rPr>
        <w:t xml:space="preserve">Meanwhile for comparation, </w:t>
      </w:r>
      <w:r w:rsidRPr="004D2A48">
        <w:rPr>
          <w:rFonts w:ascii="Times New Roman" w:hAnsi="Times New Roman"/>
          <w:sz w:val="22"/>
        </w:rPr>
        <w:t xml:space="preserve">the granularity of </w:t>
      </w:r>
      <w:r w:rsidRPr="004D2A48">
        <w:rPr>
          <w:rFonts w:ascii="Times New Roman" w:hAnsi="Times New Roman"/>
          <w:i/>
          <w:iCs/>
          <w:sz w:val="22"/>
        </w:rPr>
        <w:t>radius</w:t>
      </w:r>
      <w:r w:rsidRPr="004D2A48">
        <w:rPr>
          <w:rFonts w:ascii="Times New Roman" w:hAnsi="Times New Roman"/>
          <w:sz w:val="22"/>
        </w:rPr>
        <w:t xml:space="preserve"> </w:t>
      </w:r>
      <w:r>
        <w:rPr>
          <w:rFonts w:ascii="Times New Roman" w:hAnsi="Times New Roman" w:hint="eastAsia"/>
          <w:sz w:val="22"/>
        </w:rPr>
        <w:t>introduced in NR NTN</w:t>
      </w:r>
      <w:r w:rsidRPr="004D2A48">
        <w:rPr>
          <w:rFonts w:ascii="Times New Roman" w:hAnsi="Times New Roman"/>
          <w:sz w:val="22"/>
        </w:rPr>
        <w:t xml:space="preserve"> is </w:t>
      </w:r>
      <w:r>
        <w:rPr>
          <w:rFonts w:ascii="Times New Roman" w:hAnsi="Times New Roman" w:hint="eastAsia"/>
          <w:sz w:val="22"/>
        </w:rPr>
        <w:t>10</w:t>
      </w:r>
      <w:r w:rsidRPr="004D2A48">
        <w:rPr>
          <w:rFonts w:ascii="Times New Roman" w:hAnsi="Times New Roman"/>
          <w:sz w:val="22"/>
        </w:rPr>
        <w:t xml:space="preserve">km and the value range is </w:t>
      </w:r>
      <w:r>
        <w:rPr>
          <w:rFonts w:ascii="Times New Roman" w:hAnsi="Times New Roman" w:hint="eastAsia"/>
          <w:sz w:val="22"/>
        </w:rPr>
        <w:t>2560</w:t>
      </w:r>
      <w:r w:rsidRPr="004D2A48">
        <w:rPr>
          <w:rFonts w:ascii="Times New Roman" w:hAnsi="Times New Roman"/>
          <w:sz w:val="22"/>
        </w:rPr>
        <w:t>km.</w:t>
      </w:r>
    </w:p>
    <w:p w14:paraId="00AE64E4" w14:textId="4F2C7DFF" w:rsidR="00D61CBB" w:rsidRPr="004D2A48" w:rsidRDefault="00D61CBB" w:rsidP="00D61CBB">
      <w:pPr>
        <w:spacing w:beforeLines="50" w:before="156" w:afterLines="50" w:after="156"/>
        <w:rPr>
          <w:rFonts w:ascii="Times New Roman" w:hAnsi="Times New Roman"/>
          <w:b/>
          <w:bCs/>
          <w:sz w:val="22"/>
        </w:rPr>
      </w:pPr>
      <w:r w:rsidRPr="004D2A48">
        <w:rPr>
          <w:rFonts w:ascii="Times New Roman" w:hAnsi="Times New Roman"/>
          <w:b/>
          <w:bCs/>
          <w:sz w:val="22"/>
        </w:rPr>
        <w:t xml:space="preserve">Proposal </w:t>
      </w:r>
      <w:r>
        <w:rPr>
          <w:rFonts w:ascii="Times New Roman" w:hAnsi="Times New Roman" w:hint="eastAsia"/>
          <w:b/>
          <w:bCs/>
          <w:sz w:val="22"/>
        </w:rPr>
        <w:t>3</w:t>
      </w:r>
      <w:r w:rsidRPr="004D2A48">
        <w:rPr>
          <w:rFonts w:ascii="Times New Roman" w:hAnsi="Times New Roman"/>
          <w:b/>
          <w:bCs/>
          <w:sz w:val="22"/>
        </w:rPr>
        <w:t xml:space="preserve">: For ETWS broadcast service area indication, RAN2 can discuss whether </w:t>
      </w:r>
      <w:r w:rsidRPr="004D2A48">
        <w:rPr>
          <w:rFonts w:ascii="Times New Roman" w:hAnsi="Times New Roman" w:hint="eastAsia"/>
          <w:b/>
          <w:bCs/>
          <w:sz w:val="22"/>
        </w:rPr>
        <w:t xml:space="preserve">the format of </w:t>
      </w:r>
      <w:r w:rsidRPr="004D2A48">
        <w:rPr>
          <w:rFonts w:ascii="Times New Roman" w:hAnsi="Times New Roman"/>
          <w:b/>
          <w:bCs/>
          <w:i/>
          <w:iCs/>
          <w:sz w:val="22"/>
        </w:rPr>
        <w:t>warningAreaCoordinatesSegment</w:t>
      </w:r>
      <w:r w:rsidRPr="004D2A48">
        <w:rPr>
          <w:rFonts w:ascii="Times New Roman" w:hAnsi="Times New Roman"/>
          <w:b/>
          <w:bCs/>
          <w:sz w:val="22"/>
        </w:rPr>
        <w:t xml:space="preserve"> for CMAS is sufficient for NTN deployment.</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0BE8FB40" w:rsidR="00A90536" w:rsidRDefault="00886071" w:rsidP="00512622">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 xml:space="preserve">s </w:t>
      </w:r>
      <w:r w:rsidR="00737B8F">
        <w:rPr>
          <w:rFonts w:ascii="Times New Roman" w:hAnsi="Times New Roman" w:hint="eastAsia"/>
          <w:sz w:val="22"/>
        </w:rPr>
        <w:t>some remaining</w:t>
      </w:r>
      <w:r w:rsidR="008B6BEE">
        <w:rPr>
          <w:rFonts w:ascii="Times New Roman" w:hAnsi="Times New Roman"/>
          <w:sz w:val="22"/>
        </w:rPr>
        <w:t xml:space="preserve"> issues of </w:t>
      </w:r>
      <w:r w:rsidR="00737B8F">
        <w:rPr>
          <w:rFonts w:ascii="Times New Roman" w:hAnsi="Times New Roman" w:hint="eastAsia"/>
          <w:sz w:val="22"/>
        </w:rPr>
        <w:t xml:space="preserve">MBS </w:t>
      </w:r>
      <w:r w:rsidR="008B6BEE">
        <w:rPr>
          <w:rFonts w:ascii="Times New Roman" w:hAnsi="Times New Roman"/>
          <w:sz w:val="22"/>
        </w:rPr>
        <w:t>broadcast service in NTN</w:t>
      </w:r>
      <w:r w:rsidRPr="00886071">
        <w:rPr>
          <w:rFonts w:ascii="Times New Roman" w:hAnsi="Times New Roman"/>
          <w:sz w:val="22"/>
        </w:rPr>
        <w:t>.</w:t>
      </w:r>
      <w:r w:rsidR="00160536" w:rsidRPr="00EA11CC">
        <w:rPr>
          <w:rFonts w:ascii="Times New Roman" w:hAnsi="Times New Roman"/>
          <w:sz w:val="22"/>
        </w:rPr>
        <w:t xml:space="preserve"> </w:t>
      </w:r>
      <w:r w:rsidR="00512622">
        <w:rPr>
          <w:rFonts w:ascii="Times New Roman" w:hAnsi="Times New Roman" w:hint="eastAsia"/>
          <w:sz w:val="22"/>
        </w:rPr>
        <w:t>I</w:t>
      </w:r>
      <w:r w:rsidR="005C389C">
        <w:rPr>
          <w:rFonts w:ascii="Times New Roman" w:hAnsi="Times New Roman"/>
          <w:sz w:val="22"/>
        </w:rPr>
        <w:t>t is propose</w:t>
      </w:r>
      <w:r w:rsidR="00A76ABF">
        <w:rPr>
          <w:rFonts w:ascii="Times New Roman" w:hAnsi="Times New Roman" w:hint="eastAsia"/>
          <w:sz w:val="22"/>
        </w:rPr>
        <w:t>d that</w:t>
      </w:r>
      <w:r w:rsidR="00A90536" w:rsidRPr="00EA11CC">
        <w:rPr>
          <w:rFonts w:ascii="Times New Roman" w:hAnsi="Times New Roman"/>
          <w:sz w:val="22"/>
        </w:rPr>
        <w:t>:</w:t>
      </w:r>
    </w:p>
    <w:p w14:paraId="3EE58EC3" w14:textId="77777777" w:rsidR="00A76ABF" w:rsidRPr="004E0C0A" w:rsidRDefault="00A76ABF" w:rsidP="00A76ABF">
      <w:pPr>
        <w:spacing w:beforeLines="50" w:before="156" w:afterLines="50" w:after="156"/>
        <w:rPr>
          <w:rFonts w:ascii="Times New Roman" w:eastAsiaTheme="minorEastAsia" w:hAnsi="Times New Roman"/>
          <w:b/>
          <w:bCs/>
          <w:sz w:val="22"/>
        </w:rPr>
      </w:pPr>
      <w:r w:rsidRPr="004E0C0A">
        <w:rPr>
          <w:rFonts w:ascii="Times New Roman" w:eastAsiaTheme="minorEastAsia" w:hAnsi="Times New Roman" w:hint="eastAsia"/>
          <w:b/>
          <w:bCs/>
          <w:sz w:val="22"/>
        </w:rPr>
        <w:t>Proposal 1: RAN2 to consider enhancement for updating</w:t>
      </w:r>
      <w:r w:rsidRPr="004E0C0A">
        <w:rPr>
          <w:rFonts w:ascii="Times New Roman" w:eastAsiaTheme="minorEastAsia" w:hAnsi="Times New Roman"/>
          <w:b/>
          <w:bCs/>
          <w:sz w:val="22"/>
        </w:rPr>
        <w:t xml:space="preserve"> MCCH configuration when UE </w:t>
      </w:r>
      <w:r w:rsidRPr="004E0C0A">
        <w:rPr>
          <w:rFonts w:ascii="Times New Roman" w:eastAsiaTheme="minorEastAsia" w:hAnsi="Times New Roman" w:hint="eastAsia"/>
          <w:b/>
          <w:bCs/>
          <w:sz w:val="22"/>
        </w:rPr>
        <w:t xml:space="preserve">may </w:t>
      </w:r>
      <w:r w:rsidRPr="004E0C0A">
        <w:rPr>
          <w:rFonts w:ascii="Times New Roman" w:eastAsiaTheme="minorEastAsia" w:hAnsi="Times New Roman"/>
          <w:b/>
          <w:bCs/>
          <w:sz w:val="22"/>
        </w:rPr>
        <w:t>possibly miss a MCCH content change notification</w:t>
      </w:r>
      <w:r w:rsidRPr="004E0C0A">
        <w:rPr>
          <w:rFonts w:ascii="Times New Roman" w:eastAsiaTheme="minorEastAsia" w:hAnsi="Times New Roman" w:hint="eastAsia"/>
          <w:b/>
          <w:bCs/>
          <w:sz w:val="22"/>
        </w:rPr>
        <w:t xml:space="preserve"> due to SIB19 acquiring, including:</w:t>
      </w:r>
    </w:p>
    <w:p w14:paraId="07A2A34A" w14:textId="77777777" w:rsidR="00A76ABF" w:rsidRPr="004E0C0A" w:rsidRDefault="00A76ABF" w:rsidP="00A76ABF">
      <w:pPr>
        <w:pStyle w:val="a6"/>
        <w:numPr>
          <w:ilvl w:val="0"/>
          <w:numId w:val="42"/>
        </w:numPr>
        <w:spacing w:beforeLines="50" w:before="156" w:afterLines="50" w:after="156"/>
        <w:ind w:firstLineChars="0"/>
        <w:rPr>
          <w:rFonts w:eastAsiaTheme="minorEastAsia"/>
          <w:b/>
          <w:bCs/>
          <w:sz w:val="22"/>
        </w:rPr>
      </w:pPr>
      <w:r w:rsidRPr="004E0C0A">
        <w:rPr>
          <w:rFonts w:eastAsiaTheme="minorEastAsia" w:hint="eastAsia"/>
          <w:b/>
          <w:bCs/>
          <w:sz w:val="22"/>
        </w:rPr>
        <w:t xml:space="preserve">Option 1: </w:t>
      </w:r>
      <w:r w:rsidRPr="004E0C0A">
        <w:rPr>
          <w:rFonts w:eastAsiaTheme="minorEastAsia"/>
          <w:b/>
          <w:bCs/>
          <w:sz w:val="22"/>
        </w:rPr>
        <w:t>UE re-acquires MCCH configuration in SIB20 after re-acquiring SIB19</w:t>
      </w:r>
      <w:r w:rsidRPr="004E0C0A">
        <w:rPr>
          <w:rFonts w:eastAsiaTheme="minorEastAsia" w:hint="eastAsia"/>
          <w:b/>
          <w:bCs/>
          <w:sz w:val="22"/>
        </w:rPr>
        <w:t xml:space="preserve"> complete.</w:t>
      </w:r>
    </w:p>
    <w:p w14:paraId="055EF633" w14:textId="77777777" w:rsidR="00A76ABF" w:rsidRPr="004E0C0A" w:rsidRDefault="00A76ABF" w:rsidP="00A76ABF">
      <w:pPr>
        <w:pStyle w:val="a6"/>
        <w:numPr>
          <w:ilvl w:val="0"/>
          <w:numId w:val="42"/>
        </w:numPr>
        <w:spacing w:beforeLines="50" w:before="156" w:afterLines="50" w:after="156"/>
        <w:ind w:firstLineChars="0"/>
        <w:rPr>
          <w:rFonts w:eastAsiaTheme="minorEastAsia"/>
          <w:b/>
          <w:bCs/>
          <w:sz w:val="22"/>
        </w:rPr>
      </w:pPr>
      <w:r w:rsidRPr="004E0C0A">
        <w:rPr>
          <w:rFonts w:eastAsiaTheme="minorEastAsia" w:hint="eastAsia"/>
          <w:b/>
          <w:bCs/>
          <w:sz w:val="22"/>
        </w:rPr>
        <w:t xml:space="preserve">Option 2: </w:t>
      </w:r>
      <w:r w:rsidRPr="004E0C0A">
        <w:rPr>
          <w:rFonts w:eastAsiaTheme="minorEastAsia"/>
          <w:b/>
          <w:bCs/>
          <w:sz w:val="22"/>
        </w:rPr>
        <w:t xml:space="preserve">MCCH change notification or MCCH configuration </w:t>
      </w:r>
      <w:r w:rsidRPr="004E0C0A">
        <w:rPr>
          <w:rFonts w:eastAsiaTheme="minorEastAsia" w:hint="eastAsia"/>
          <w:b/>
          <w:bCs/>
          <w:sz w:val="22"/>
        </w:rPr>
        <w:t>can be</w:t>
      </w:r>
      <w:r w:rsidRPr="004E0C0A">
        <w:rPr>
          <w:rFonts w:eastAsiaTheme="minorEastAsia"/>
          <w:b/>
          <w:bCs/>
          <w:sz w:val="22"/>
        </w:rPr>
        <w:t xml:space="preserve"> received in re-acquired SIB19</w:t>
      </w:r>
      <w:r w:rsidRPr="004E0C0A">
        <w:rPr>
          <w:rFonts w:eastAsiaTheme="minorEastAsia" w:hint="eastAsia"/>
          <w:b/>
          <w:bCs/>
          <w:sz w:val="22"/>
        </w:rPr>
        <w:t>.</w:t>
      </w:r>
    </w:p>
    <w:p w14:paraId="18478002" w14:textId="5215E866" w:rsidR="005C389C" w:rsidRDefault="00737B8F" w:rsidP="00737B8F">
      <w:pPr>
        <w:spacing w:beforeLines="50" w:before="156" w:afterLines="50" w:after="156"/>
        <w:rPr>
          <w:rFonts w:ascii="Times New Roman" w:eastAsiaTheme="minorEastAsia" w:hAnsi="Times New Roman"/>
          <w:b/>
          <w:bCs/>
          <w:sz w:val="22"/>
        </w:rPr>
      </w:pPr>
      <w:r w:rsidRPr="00512622">
        <w:rPr>
          <w:rFonts w:ascii="Times New Roman" w:eastAsiaTheme="minorEastAsia" w:hAnsi="Times New Roman" w:hint="eastAsia"/>
          <w:b/>
          <w:bCs/>
          <w:sz w:val="22"/>
        </w:rPr>
        <w:t xml:space="preserve">Proposal </w:t>
      </w:r>
      <w:r w:rsidR="00A76ABF">
        <w:rPr>
          <w:rFonts w:ascii="Times New Roman" w:eastAsiaTheme="minorEastAsia" w:hAnsi="Times New Roman" w:hint="eastAsia"/>
          <w:b/>
          <w:bCs/>
          <w:sz w:val="22"/>
        </w:rPr>
        <w:t>2</w:t>
      </w:r>
      <w:r w:rsidRPr="00512622">
        <w:rPr>
          <w:rFonts w:ascii="Times New Roman" w:eastAsiaTheme="minorEastAsia" w:hAnsi="Times New Roman" w:hint="eastAsia"/>
          <w:b/>
          <w:bCs/>
          <w:sz w:val="22"/>
        </w:rPr>
        <w:t xml:space="preserve">: </w:t>
      </w:r>
      <w:r w:rsidRPr="00512622">
        <w:rPr>
          <w:rFonts w:ascii="Times New Roman" w:eastAsiaTheme="minorEastAsia" w:hAnsi="Times New Roman"/>
          <w:b/>
          <w:bCs/>
          <w:sz w:val="22"/>
        </w:rPr>
        <w:t>UE</w:t>
      </w:r>
      <w:r w:rsidRPr="00512622">
        <w:rPr>
          <w:rFonts w:ascii="Times New Roman" w:eastAsiaTheme="minorEastAsia" w:hAnsi="Times New Roman" w:hint="eastAsia"/>
          <w:b/>
          <w:bCs/>
          <w:sz w:val="22"/>
        </w:rPr>
        <w:t xml:space="preserve"> may report </w:t>
      </w:r>
      <w:r w:rsidRPr="00512622">
        <w:rPr>
          <w:rFonts w:ascii="Times New Roman" w:eastAsiaTheme="minorEastAsia" w:hAnsi="Times New Roman"/>
          <w:b/>
          <w:bCs/>
          <w:sz w:val="22"/>
        </w:rPr>
        <w:t xml:space="preserve">its </w:t>
      </w:r>
      <w:r w:rsidRPr="00512622">
        <w:rPr>
          <w:rFonts w:ascii="Times New Roman" w:eastAsiaTheme="minorEastAsia" w:hAnsi="Times New Roman" w:hint="eastAsia"/>
          <w:b/>
          <w:bCs/>
          <w:sz w:val="22"/>
        </w:rPr>
        <w:t xml:space="preserve">current </w:t>
      </w:r>
      <w:r w:rsidRPr="00512622">
        <w:rPr>
          <w:rFonts w:ascii="Times New Roman" w:eastAsiaTheme="minorEastAsia" w:hAnsi="Times New Roman"/>
          <w:b/>
          <w:bCs/>
          <w:sz w:val="22"/>
        </w:rPr>
        <w:t>broadcast service area information</w:t>
      </w:r>
      <w:r w:rsidRPr="00512622">
        <w:rPr>
          <w:rFonts w:ascii="Times New Roman" w:eastAsiaTheme="minorEastAsia" w:hAnsi="Times New Roman" w:hint="eastAsia"/>
          <w:b/>
          <w:bCs/>
          <w:sz w:val="22"/>
        </w:rPr>
        <w:t xml:space="preserve"> or </w:t>
      </w:r>
      <w:r w:rsidRPr="00512622">
        <w:rPr>
          <w:rFonts w:ascii="Times New Roman" w:eastAsiaTheme="minorEastAsia" w:hAnsi="Times New Roman"/>
          <w:b/>
          <w:bCs/>
          <w:sz w:val="22"/>
        </w:rPr>
        <w:t>area</w:t>
      </w:r>
      <w:r w:rsidRPr="00512622">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ID </w:t>
      </w:r>
      <w:r w:rsidRPr="00512622">
        <w:rPr>
          <w:rFonts w:ascii="Times New Roman" w:eastAsiaTheme="minorEastAsia" w:hAnsi="Times New Roman" w:hint="eastAsia"/>
          <w:b/>
          <w:bCs/>
          <w:sz w:val="22"/>
        </w:rPr>
        <w:t>to gNB</w:t>
      </w:r>
      <w:r w:rsidRPr="00512622">
        <w:rPr>
          <w:rFonts w:ascii="Times New Roman" w:eastAsiaTheme="minorEastAsia" w:hAnsi="Times New Roman"/>
          <w:b/>
          <w:bCs/>
          <w:sz w:val="22"/>
        </w:rPr>
        <w:t xml:space="preserve"> for service continuity</w:t>
      </w:r>
      <w:r w:rsidRPr="00512622">
        <w:rPr>
          <w:rFonts w:ascii="Times New Roman" w:eastAsiaTheme="minorEastAsia" w:hAnsi="Times New Roman" w:hint="eastAsia"/>
          <w:b/>
          <w:bCs/>
          <w:sz w:val="22"/>
        </w:rPr>
        <w:t xml:space="preserve"> in RRC_CONNECTED</w:t>
      </w:r>
      <w:r w:rsidRPr="00512622">
        <w:rPr>
          <w:rFonts w:ascii="Times New Roman" w:eastAsiaTheme="minorEastAsia" w:hAnsi="Times New Roman"/>
          <w:b/>
          <w:bCs/>
          <w:sz w:val="22"/>
        </w:rPr>
        <w:t>.</w:t>
      </w:r>
    </w:p>
    <w:p w14:paraId="237DEE70" w14:textId="77777777" w:rsidR="00D61CBB" w:rsidRPr="004D2A48" w:rsidRDefault="00D61CBB" w:rsidP="00D61CBB">
      <w:pPr>
        <w:spacing w:beforeLines="50" w:before="156" w:afterLines="50" w:after="156"/>
        <w:rPr>
          <w:rFonts w:ascii="Times New Roman" w:hAnsi="Times New Roman"/>
          <w:b/>
          <w:bCs/>
          <w:sz w:val="22"/>
        </w:rPr>
      </w:pPr>
      <w:r w:rsidRPr="004D2A48">
        <w:rPr>
          <w:rFonts w:ascii="Times New Roman" w:hAnsi="Times New Roman"/>
          <w:b/>
          <w:bCs/>
          <w:sz w:val="22"/>
        </w:rPr>
        <w:t xml:space="preserve">Proposal </w:t>
      </w:r>
      <w:r>
        <w:rPr>
          <w:rFonts w:ascii="Times New Roman" w:hAnsi="Times New Roman" w:hint="eastAsia"/>
          <w:b/>
          <w:bCs/>
          <w:sz w:val="22"/>
        </w:rPr>
        <w:t>3</w:t>
      </w:r>
      <w:r w:rsidRPr="004D2A48">
        <w:rPr>
          <w:rFonts w:ascii="Times New Roman" w:hAnsi="Times New Roman"/>
          <w:b/>
          <w:bCs/>
          <w:sz w:val="22"/>
        </w:rPr>
        <w:t xml:space="preserve">: For ETWS broadcast service area indication, RAN2 can discuss whether </w:t>
      </w:r>
      <w:r w:rsidRPr="004D2A48">
        <w:rPr>
          <w:rFonts w:ascii="Times New Roman" w:hAnsi="Times New Roman" w:hint="eastAsia"/>
          <w:b/>
          <w:bCs/>
          <w:sz w:val="22"/>
        </w:rPr>
        <w:t xml:space="preserve">the format of </w:t>
      </w:r>
      <w:r w:rsidRPr="004D2A48">
        <w:rPr>
          <w:rFonts w:ascii="Times New Roman" w:hAnsi="Times New Roman"/>
          <w:b/>
          <w:bCs/>
          <w:i/>
          <w:iCs/>
          <w:sz w:val="22"/>
        </w:rPr>
        <w:t>warningAreaCoordinatesSegment</w:t>
      </w:r>
      <w:r w:rsidRPr="004D2A48">
        <w:rPr>
          <w:rFonts w:ascii="Times New Roman" w:hAnsi="Times New Roman"/>
          <w:b/>
          <w:bCs/>
          <w:sz w:val="22"/>
        </w:rPr>
        <w:t xml:space="preserve"> for CMAS is sufficient for NTN deployment.</w:t>
      </w:r>
    </w:p>
    <w:sectPr w:rsidR="00D61CBB" w:rsidRPr="004D2A48"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42AE7" w14:textId="77777777" w:rsidR="009B28E1" w:rsidRDefault="009B28E1">
      <w:r>
        <w:separator/>
      </w:r>
    </w:p>
  </w:endnote>
  <w:endnote w:type="continuationSeparator" w:id="0">
    <w:p w14:paraId="02F4E981" w14:textId="77777777" w:rsidR="009B28E1" w:rsidRDefault="009B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8B39B" w14:textId="77777777" w:rsidR="009B28E1" w:rsidRDefault="009B28E1">
      <w:r>
        <w:separator/>
      </w:r>
    </w:p>
  </w:footnote>
  <w:footnote w:type="continuationSeparator" w:id="0">
    <w:p w14:paraId="197AA8C9" w14:textId="77777777" w:rsidR="009B28E1" w:rsidRDefault="009B2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4B4F88"/>
    <w:multiLevelType w:val="hybridMultilevel"/>
    <w:tmpl w:val="959C123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4252B8"/>
    <w:multiLevelType w:val="hybridMultilevel"/>
    <w:tmpl w:val="8E20EFCC"/>
    <w:lvl w:ilvl="0" w:tplc="74D23E16">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F10548"/>
    <w:multiLevelType w:val="hybridMultilevel"/>
    <w:tmpl w:val="B3B6BE1C"/>
    <w:lvl w:ilvl="0" w:tplc="F118BF7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3032E2"/>
    <w:multiLevelType w:val="hybridMultilevel"/>
    <w:tmpl w:val="B168571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CF414A7"/>
    <w:multiLevelType w:val="hybridMultilevel"/>
    <w:tmpl w:val="EC2A8D9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2A21E0"/>
    <w:multiLevelType w:val="hybridMultilevel"/>
    <w:tmpl w:val="673CDD5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1"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2"/>
  </w:num>
  <w:num w:numId="2" w16cid:durableId="1984658315">
    <w:abstractNumId w:val="2"/>
  </w:num>
  <w:num w:numId="3" w16cid:durableId="722876610">
    <w:abstractNumId w:val="36"/>
  </w:num>
  <w:num w:numId="4" w16cid:durableId="859195836">
    <w:abstractNumId w:val="35"/>
  </w:num>
  <w:num w:numId="5" w16cid:durableId="220140937">
    <w:abstractNumId w:val="11"/>
  </w:num>
  <w:num w:numId="6" w16cid:durableId="1734040883">
    <w:abstractNumId w:val="31"/>
  </w:num>
  <w:num w:numId="7" w16cid:durableId="2045521902">
    <w:abstractNumId w:val="6"/>
  </w:num>
  <w:num w:numId="8" w16cid:durableId="163935166">
    <w:abstractNumId w:val="19"/>
  </w:num>
  <w:num w:numId="9" w16cid:durableId="1679574324">
    <w:abstractNumId w:val="5"/>
  </w:num>
  <w:num w:numId="10" w16cid:durableId="75370074">
    <w:abstractNumId w:val="20"/>
  </w:num>
  <w:num w:numId="11" w16cid:durableId="1796754296">
    <w:abstractNumId w:val="3"/>
  </w:num>
  <w:num w:numId="12" w16cid:durableId="384646512">
    <w:abstractNumId w:val="17"/>
  </w:num>
  <w:num w:numId="13" w16cid:durableId="1573813467">
    <w:abstractNumId w:val="26"/>
  </w:num>
  <w:num w:numId="14" w16cid:durableId="1493519478">
    <w:abstractNumId w:val="7"/>
  </w:num>
  <w:num w:numId="15" w16cid:durableId="127743599">
    <w:abstractNumId w:val="39"/>
  </w:num>
  <w:num w:numId="16" w16cid:durableId="1895191140">
    <w:abstractNumId w:val="40"/>
  </w:num>
  <w:num w:numId="17" w16cid:durableId="828903070">
    <w:abstractNumId w:val="1"/>
  </w:num>
  <w:num w:numId="18" w16cid:durableId="1821799038">
    <w:abstractNumId w:val="9"/>
  </w:num>
  <w:num w:numId="19" w16cid:durableId="985160454">
    <w:abstractNumId w:val="24"/>
  </w:num>
  <w:num w:numId="20" w16cid:durableId="1390036946">
    <w:abstractNumId w:val="0"/>
  </w:num>
  <w:num w:numId="21" w16cid:durableId="381757924">
    <w:abstractNumId w:val="29"/>
  </w:num>
  <w:num w:numId="22" w16cid:durableId="1834640208">
    <w:abstractNumId w:val="4"/>
  </w:num>
  <w:num w:numId="23" w16cid:durableId="303239897">
    <w:abstractNumId w:val="16"/>
  </w:num>
  <w:num w:numId="24" w16cid:durableId="1178815800">
    <w:abstractNumId w:val="10"/>
  </w:num>
  <w:num w:numId="25" w16cid:durableId="1387993154">
    <w:abstractNumId w:val="28"/>
  </w:num>
  <w:num w:numId="26" w16cid:durableId="940138824">
    <w:abstractNumId w:val="30"/>
  </w:num>
  <w:num w:numId="27" w16cid:durableId="871189877">
    <w:abstractNumId w:val="27"/>
  </w:num>
  <w:num w:numId="28" w16cid:durableId="418596070">
    <w:abstractNumId w:val="41"/>
  </w:num>
  <w:num w:numId="29" w16cid:durableId="1149438441">
    <w:abstractNumId w:val="21"/>
  </w:num>
  <w:num w:numId="30" w16cid:durableId="1023165204">
    <w:abstractNumId w:val="38"/>
  </w:num>
  <w:num w:numId="31" w16cid:durableId="730009029">
    <w:abstractNumId w:val="15"/>
  </w:num>
  <w:num w:numId="32" w16cid:durableId="2073652555">
    <w:abstractNumId w:val="12"/>
  </w:num>
  <w:num w:numId="33" w16cid:durableId="483818738">
    <w:abstractNumId w:val="14"/>
  </w:num>
  <w:num w:numId="34" w16cid:durableId="131290464">
    <w:abstractNumId w:val="8"/>
  </w:num>
  <w:num w:numId="35" w16cid:durableId="1546332190">
    <w:abstractNumId w:val="18"/>
  </w:num>
  <w:num w:numId="36" w16cid:durableId="876889407">
    <w:abstractNumId w:val="23"/>
  </w:num>
  <w:num w:numId="37" w16cid:durableId="729577724">
    <w:abstractNumId w:val="25"/>
  </w:num>
  <w:num w:numId="38" w16cid:durableId="654843391">
    <w:abstractNumId w:val="37"/>
  </w:num>
  <w:num w:numId="39" w16cid:durableId="317999403">
    <w:abstractNumId w:val="22"/>
  </w:num>
  <w:num w:numId="40" w16cid:durableId="607934964">
    <w:abstractNumId w:val="13"/>
  </w:num>
  <w:num w:numId="41" w16cid:durableId="1841045644">
    <w:abstractNumId w:val="33"/>
  </w:num>
  <w:num w:numId="42" w16cid:durableId="1224097258">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446"/>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3A96"/>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AA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7FC"/>
    <w:rsid w:val="000D18D0"/>
    <w:rsid w:val="000D1C3D"/>
    <w:rsid w:val="000D1C46"/>
    <w:rsid w:val="000D22F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2DEF"/>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39C"/>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32A"/>
    <w:rsid w:val="001075F0"/>
    <w:rsid w:val="001078A4"/>
    <w:rsid w:val="001115C0"/>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388"/>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1"/>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1B3"/>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9D2"/>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E68"/>
    <w:rsid w:val="00176F42"/>
    <w:rsid w:val="00180BDB"/>
    <w:rsid w:val="00180CE8"/>
    <w:rsid w:val="0018169C"/>
    <w:rsid w:val="00181EF6"/>
    <w:rsid w:val="001828FA"/>
    <w:rsid w:val="00182C9C"/>
    <w:rsid w:val="001833EB"/>
    <w:rsid w:val="00183503"/>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14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B7B2A"/>
    <w:rsid w:val="001C0672"/>
    <w:rsid w:val="001C09E0"/>
    <w:rsid w:val="001C0B89"/>
    <w:rsid w:val="001C1063"/>
    <w:rsid w:val="001C2584"/>
    <w:rsid w:val="001C2EEE"/>
    <w:rsid w:val="001C3C68"/>
    <w:rsid w:val="001C4289"/>
    <w:rsid w:val="001C4337"/>
    <w:rsid w:val="001C44D8"/>
    <w:rsid w:val="001C4C1D"/>
    <w:rsid w:val="001C51CC"/>
    <w:rsid w:val="001C54E0"/>
    <w:rsid w:val="001C55A9"/>
    <w:rsid w:val="001C6194"/>
    <w:rsid w:val="001C69BA"/>
    <w:rsid w:val="001C6C5D"/>
    <w:rsid w:val="001C76E5"/>
    <w:rsid w:val="001C7ACE"/>
    <w:rsid w:val="001D03D0"/>
    <w:rsid w:val="001D05AE"/>
    <w:rsid w:val="001D0994"/>
    <w:rsid w:val="001D09AD"/>
    <w:rsid w:val="001D0D6D"/>
    <w:rsid w:val="001D0F04"/>
    <w:rsid w:val="001D1083"/>
    <w:rsid w:val="001D13DB"/>
    <w:rsid w:val="001D197C"/>
    <w:rsid w:val="001D1BDC"/>
    <w:rsid w:val="001D2B10"/>
    <w:rsid w:val="001D3F11"/>
    <w:rsid w:val="001D42A4"/>
    <w:rsid w:val="001D43A4"/>
    <w:rsid w:val="001D5668"/>
    <w:rsid w:val="001D5901"/>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6F7D"/>
    <w:rsid w:val="001E7472"/>
    <w:rsid w:val="001E7DF5"/>
    <w:rsid w:val="001F01F5"/>
    <w:rsid w:val="001F0E6C"/>
    <w:rsid w:val="001F10DC"/>
    <w:rsid w:val="001F2365"/>
    <w:rsid w:val="001F26B7"/>
    <w:rsid w:val="001F2817"/>
    <w:rsid w:val="001F2A1F"/>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1880"/>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32B"/>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471D"/>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00A"/>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D03"/>
    <w:rsid w:val="00295F51"/>
    <w:rsid w:val="00296097"/>
    <w:rsid w:val="002964A2"/>
    <w:rsid w:val="00296664"/>
    <w:rsid w:val="00296946"/>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250"/>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6F35"/>
    <w:rsid w:val="00307306"/>
    <w:rsid w:val="00307B96"/>
    <w:rsid w:val="00307DA3"/>
    <w:rsid w:val="0031023A"/>
    <w:rsid w:val="00310B20"/>
    <w:rsid w:val="00312133"/>
    <w:rsid w:val="00312CBC"/>
    <w:rsid w:val="00313898"/>
    <w:rsid w:val="00313EB8"/>
    <w:rsid w:val="00313F8E"/>
    <w:rsid w:val="00314175"/>
    <w:rsid w:val="00314600"/>
    <w:rsid w:val="0031487F"/>
    <w:rsid w:val="00314920"/>
    <w:rsid w:val="00314D6F"/>
    <w:rsid w:val="00314EF9"/>
    <w:rsid w:val="0031515C"/>
    <w:rsid w:val="0031567E"/>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379"/>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7A7"/>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4D4A"/>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028"/>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969"/>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3FEF"/>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4D6"/>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3F"/>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069"/>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039"/>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C3F"/>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30D"/>
    <w:rsid w:val="004A20C5"/>
    <w:rsid w:val="004A21A1"/>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57D"/>
    <w:rsid w:val="004B4837"/>
    <w:rsid w:val="004B5679"/>
    <w:rsid w:val="004B6419"/>
    <w:rsid w:val="004B65BA"/>
    <w:rsid w:val="004B6B57"/>
    <w:rsid w:val="004B6C2D"/>
    <w:rsid w:val="004C060B"/>
    <w:rsid w:val="004C0736"/>
    <w:rsid w:val="004C09A7"/>
    <w:rsid w:val="004C0A83"/>
    <w:rsid w:val="004C1134"/>
    <w:rsid w:val="004C15D9"/>
    <w:rsid w:val="004C25AF"/>
    <w:rsid w:val="004C2728"/>
    <w:rsid w:val="004C337B"/>
    <w:rsid w:val="004C38D7"/>
    <w:rsid w:val="004C4428"/>
    <w:rsid w:val="004C45D2"/>
    <w:rsid w:val="004C4694"/>
    <w:rsid w:val="004C560D"/>
    <w:rsid w:val="004C56CA"/>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C0A"/>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7FA"/>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622"/>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84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73A"/>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5A09"/>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1E71"/>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472"/>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5AE0"/>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5B05"/>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2BFD"/>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858"/>
    <w:rsid w:val="00611EA2"/>
    <w:rsid w:val="0061231F"/>
    <w:rsid w:val="006126F9"/>
    <w:rsid w:val="00612FA1"/>
    <w:rsid w:val="00613A2B"/>
    <w:rsid w:val="00613ADA"/>
    <w:rsid w:val="00613BB9"/>
    <w:rsid w:val="00614241"/>
    <w:rsid w:val="00614541"/>
    <w:rsid w:val="0061474A"/>
    <w:rsid w:val="006147E3"/>
    <w:rsid w:val="00614897"/>
    <w:rsid w:val="00614B52"/>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179"/>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129"/>
    <w:rsid w:val="0064427C"/>
    <w:rsid w:val="00644844"/>
    <w:rsid w:val="00644C4B"/>
    <w:rsid w:val="0064500A"/>
    <w:rsid w:val="00645118"/>
    <w:rsid w:val="0064513C"/>
    <w:rsid w:val="006459AF"/>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2DF"/>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2F6B"/>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70F"/>
    <w:rsid w:val="006C182F"/>
    <w:rsid w:val="006C19E8"/>
    <w:rsid w:val="006C1E32"/>
    <w:rsid w:val="006C1E9D"/>
    <w:rsid w:val="006C1FFC"/>
    <w:rsid w:val="006C243E"/>
    <w:rsid w:val="006C290C"/>
    <w:rsid w:val="006C2EFF"/>
    <w:rsid w:val="006C421C"/>
    <w:rsid w:val="006C4904"/>
    <w:rsid w:val="006C5344"/>
    <w:rsid w:val="006C6155"/>
    <w:rsid w:val="006C62A2"/>
    <w:rsid w:val="006C64DF"/>
    <w:rsid w:val="006C65FB"/>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B21"/>
    <w:rsid w:val="006D5DB2"/>
    <w:rsid w:val="006D5EF8"/>
    <w:rsid w:val="006D622B"/>
    <w:rsid w:val="006D6907"/>
    <w:rsid w:val="006D6A35"/>
    <w:rsid w:val="006D6E32"/>
    <w:rsid w:val="006D76AE"/>
    <w:rsid w:val="006D796A"/>
    <w:rsid w:val="006E060C"/>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66E7"/>
    <w:rsid w:val="006F7205"/>
    <w:rsid w:val="006F7FD0"/>
    <w:rsid w:val="007008B6"/>
    <w:rsid w:val="0070194B"/>
    <w:rsid w:val="00701EB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7A5"/>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37B8F"/>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3AB"/>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2BD1"/>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22D"/>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548C"/>
    <w:rsid w:val="007B60A7"/>
    <w:rsid w:val="007B6D21"/>
    <w:rsid w:val="007C0508"/>
    <w:rsid w:val="007C0E18"/>
    <w:rsid w:val="007C1E9C"/>
    <w:rsid w:val="007C1F20"/>
    <w:rsid w:val="007C26B7"/>
    <w:rsid w:val="007C32E1"/>
    <w:rsid w:val="007C3BD8"/>
    <w:rsid w:val="007C46DD"/>
    <w:rsid w:val="007C502E"/>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73"/>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CA9"/>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9CC"/>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17"/>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3EA7"/>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33A"/>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2E6"/>
    <w:rsid w:val="00973613"/>
    <w:rsid w:val="00973AFC"/>
    <w:rsid w:val="0097465D"/>
    <w:rsid w:val="00974687"/>
    <w:rsid w:val="0097492D"/>
    <w:rsid w:val="00974B01"/>
    <w:rsid w:val="009753C5"/>
    <w:rsid w:val="009758E7"/>
    <w:rsid w:val="00975B0F"/>
    <w:rsid w:val="009761B0"/>
    <w:rsid w:val="009766F7"/>
    <w:rsid w:val="009768AB"/>
    <w:rsid w:val="00977A06"/>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E42"/>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4E0"/>
    <w:rsid w:val="009A794A"/>
    <w:rsid w:val="009A7D36"/>
    <w:rsid w:val="009B000E"/>
    <w:rsid w:val="009B138E"/>
    <w:rsid w:val="009B1500"/>
    <w:rsid w:val="009B25B0"/>
    <w:rsid w:val="009B28E1"/>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3D70"/>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227"/>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11FA"/>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6ABF"/>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14E"/>
    <w:rsid w:val="00AA6D41"/>
    <w:rsid w:val="00AA7012"/>
    <w:rsid w:val="00AA74FE"/>
    <w:rsid w:val="00AA77EE"/>
    <w:rsid w:val="00AA794A"/>
    <w:rsid w:val="00AA7A9A"/>
    <w:rsid w:val="00AA7E2F"/>
    <w:rsid w:val="00AA7F83"/>
    <w:rsid w:val="00AB068E"/>
    <w:rsid w:val="00AB07A9"/>
    <w:rsid w:val="00AB0C12"/>
    <w:rsid w:val="00AB0D4C"/>
    <w:rsid w:val="00AB0E9C"/>
    <w:rsid w:val="00AB13E3"/>
    <w:rsid w:val="00AB1DE5"/>
    <w:rsid w:val="00AB3B5D"/>
    <w:rsid w:val="00AB4406"/>
    <w:rsid w:val="00AB49BF"/>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5B4"/>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3DEB"/>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46F"/>
    <w:rsid w:val="00B63A34"/>
    <w:rsid w:val="00B643FB"/>
    <w:rsid w:val="00B64442"/>
    <w:rsid w:val="00B64780"/>
    <w:rsid w:val="00B65607"/>
    <w:rsid w:val="00B65E9A"/>
    <w:rsid w:val="00B66324"/>
    <w:rsid w:val="00B66843"/>
    <w:rsid w:val="00B66EA8"/>
    <w:rsid w:val="00B66F7A"/>
    <w:rsid w:val="00B670C1"/>
    <w:rsid w:val="00B7037F"/>
    <w:rsid w:val="00B7038E"/>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2B8"/>
    <w:rsid w:val="00BC4708"/>
    <w:rsid w:val="00BC49C7"/>
    <w:rsid w:val="00BC4A60"/>
    <w:rsid w:val="00BC4C3E"/>
    <w:rsid w:val="00BC5B87"/>
    <w:rsid w:val="00BC5FF9"/>
    <w:rsid w:val="00BC6749"/>
    <w:rsid w:val="00BC68BF"/>
    <w:rsid w:val="00BC78E1"/>
    <w:rsid w:val="00BD0325"/>
    <w:rsid w:val="00BD068C"/>
    <w:rsid w:val="00BD0A6F"/>
    <w:rsid w:val="00BD0D06"/>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CF0"/>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3863"/>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2A7E"/>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5F6"/>
    <w:rsid w:val="00C426F4"/>
    <w:rsid w:val="00C42905"/>
    <w:rsid w:val="00C42ED4"/>
    <w:rsid w:val="00C434E0"/>
    <w:rsid w:val="00C4372C"/>
    <w:rsid w:val="00C43844"/>
    <w:rsid w:val="00C44420"/>
    <w:rsid w:val="00C445FA"/>
    <w:rsid w:val="00C45476"/>
    <w:rsid w:val="00C45AE9"/>
    <w:rsid w:val="00C45ED6"/>
    <w:rsid w:val="00C45F79"/>
    <w:rsid w:val="00C46076"/>
    <w:rsid w:val="00C4623D"/>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1DB3"/>
    <w:rsid w:val="00C72803"/>
    <w:rsid w:val="00C73CEC"/>
    <w:rsid w:val="00C747C4"/>
    <w:rsid w:val="00C74F03"/>
    <w:rsid w:val="00C75B39"/>
    <w:rsid w:val="00C770AD"/>
    <w:rsid w:val="00C77404"/>
    <w:rsid w:val="00C8011D"/>
    <w:rsid w:val="00C801AB"/>
    <w:rsid w:val="00C80408"/>
    <w:rsid w:val="00C80F84"/>
    <w:rsid w:val="00C80FAF"/>
    <w:rsid w:val="00C8261E"/>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1EFF"/>
    <w:rsid w:val="00CB2F15"/>
    <w:rsid w:val="00CB2FC3"/>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8E"/>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57"/>
    <w:rsid w:val="00CE4498"/>
    <w:rsid w:val="00CE5B77"/>
    <w:rsid w:val="00CE5BEB"/>
    <w:rsid w:val="00CE60BA"/>
    <w:rsid w:val="00CE61D4"/>
    <w:rsid w:val="00CE6355"/>
    <w:rsid w:val="00CE7DD2"/>
    <w:rsid w:val="00CE7E85"/>
    <w:rsid w:val="00CE7ED5"/>
    <w:rsid w:val="00CE7EE2"/>
    <w:rsid w:val="00CF0515"/>
    <w:rsid w:val="00CF09B4"/>
    <w:rsid w:val="00CF12EA"/>
    <w:rsid w:val="00CF27ED"/>
    <w:rsid w:val="00CF2DEB"/>
    <w:rsid w:val="00CF300F"/>
    <w:rsid w:val="00CF47D4"/>
    <w:rsid w:val="00CF4D13"/>
    <w:rsid w:val="00CF5B00"/>
    <w:rsid w:val="00CF62CC"/>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4ED"/>
    <w:rsid w:val="00D10C5F"/>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6D63"/>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41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CBB"/>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4E4A"/>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5D09"/>
    <w:rsid w:val="00DC6952"/>
    <w:rsid w:val="00DC6F2D"/>
    <w:rsid w:val="00DC7601"/>
    <w:rsid w:val="00DD0AFB"/>
    <w:rsid w:val="00DD13C6"/>
    <w:rsid w:val="00DD15BC"/>
    <w:rsid w:val="00DD1960"/>
    <w:rsid w:val="00DD2124"/>
    <w:rsid w:val="00DD2D31"/>
    <w:rsid w:val="00DD3041"/>
    <w:rsid w:val="00DD357F"/>
    <w:rsid w:val="00DD40BC"/>
    <w:rsid w:val="00DD4912"/>
    <w:rsid w:val="00DD4BFB"/>
    <w:rsid w:val="00DD55FE"/>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2A3B"/>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117"/>
    <w:rsid w:val="00E164B0"/>
    <w:rsid w:val="00E16D99"/>
    <w:rsid w:val="00E16E61"/>
    <w:rsid w:val="00E1736C"/>
    <w:rsid w:val="00E17559"/>
    <w:rsid w:val="00E17EA5"/>
    <w:rsid w:val="00E21451"/>
    <w:rsid w:val="00E21875"/>
    <w:rsid w:val="00E22311"/>
    <w:rsid w:val="00E22420"/>
    <w:rsid w:val="00E2271F"/>
    <w:rsid w:val="00E228A1"/>
    <w:rsid w:val="00E22F2C"/>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4535"/>
    <w:rsid w:val="00E451A6"/>
    <w:rsid w:val="00E451E2"/>
    <w:rsid w:val="00E467BD"/>
    <w:rsid w:val="00E46A8D"/>
    <w:rsid w:val="00E4715E"/>
    <w:rsid w:val="00E4768E"/>
    <w:rsid w:val="00E476E7"/>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0EDE"/>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50E"/>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23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373"/>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7F3"/>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978"/>
    <w:rsid w:val="00F20BEE"/>
    <w:rsid w:val="00F2240A"/>
    <w:rsid w:val="00F22CB7"/>
    <w:rsid w:val="00F22ECA"/>
    <w:rsid w:val="00F2370C"/>
    <w:rsid w:val="00F244E3"/>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3EE"/>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1A7D"/>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745"/>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E7ED2"/>
    <w:rsid w:val="00FF0437"/>
    <w:rsid w:val="00FF077F"/>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semiHidden/>
    <w:unhideWhenUsed/>
    <w:qFormat/>
    <w:rsid w:val="001661B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character" w:customStyle="1" w:styleId="50">
    <w:name w:val="标题 5 字符"/>
    <w:basedOn w:val="a0"/>
    <w:link w:val="5"/>
    <w:uiPriority w:val="9"/>
    <w:semiHidden/>
    <w:rsid w:val="001661B3"/>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10511</TotalTime>
  <Pages>4</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288</cp:revision>
  <cp:lastPrinted>2012-10-30T00:20:00Z</cp:lastPrinted>
  <dcterms:created xsi:type="dcterms:W3CDTF">2020-08-03T07:44:00Z</dcterms:created>
  <dcterms:modified xsi:type="dcterms:W3CDTF">2025-08-14T10:16:00Z</dcterms:modified>
</cp:coreProperties>
</file>